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F3AA" w14:textId="66C8BE92" w:rsidR="00555AAA" w:rsidRDefault="000F2692" w:rsidP="000F2692">
      <w:pPr>
        <w:pStyle w:val="Titre1"/>
      </w:pPr>
      <w:r>
        <w:t>iSAS Project Data Storage</w:t>
      </w:r>
    </w:p>
    <w:p w14:paraId="404A2F04" w14:textId="3D84CB8D" w:rsidR="000F2692" w:rsidRDefault="000F2692" w:rsidP="000F2692">
      <w:r>
        <w:t>STFC will provide the project with a SharePoint site for which to store project data and documentation; the site itself will be created on STFC’s SharePoint tenancy.</w:t>
      </w:r>
    </w:p>
    <w:p w14:paraId="6A45A442" w14:textId="7C6ACB7F" w:rsidR="004F2FF9" w:rsidRDefault="000F2692" w:rsidP="000F2692">
      <w:r>
        <w:t>Each work package will have its own document library (i.e., file storage area).</w:t>
      </w:r>
      <w:r w:rsidR="004F2FF9">
        <w:t xml:space="preserve"> Users associated with a particular work package will have create/edit/delete</w:t>
      </w:r>
      <w:r w:rsidR="00373907">
        <w:t xml:space="preserve"> permissions to said </w:t>
      </w:r>
      <w:r w:rsidR="004F2FF9">
        <w:t>work package library, and only view</w:t>
      </w:r>
      <w:r w:rsidR="00373907">
        <w:t xml:space="preserve"> permissions</w:t>
      </w:r>
      <w:r w:rsidR="004F2FF9">
        <w:t xml:space="preserve"> to other work package libraries. </w:t>
      </w:r>
      <w:r w:rsidR="00373907">
        <w:t>Global</w:t>
      </w:r>
      <w:r w:rsidR="004F2FF9">
        <w:t xml:space="preserve"> permissions can be provided to the co-ordination panel, giving edit rights in all areas.</w:t>
      </w:r>
    </w:p>
    <w:p w14:paraId="277821BF" w14:textId="48BD98FE" w:rsidR="00373907" w:rsidRDefault="00373907" w:rsidP="000F2692">
      <w:r>
        <w:t>Permission groups will be created and managed by STFC. During the setup of the site, a list of user’s names, emails, and their associated work package must be provided to facilitate this process. Any additional requests for user group updates should be made via STFC.</w:t>
      </w:r>
    </w:p>
    <w:p w14:paraId="09F1C364" w14:textId="0CBB5AA9" w:rsidR="000F2692" w:rsidRDefault="000F2692" w:rsidP="000F2692">
      <w:r>
        <w:t>Though folders can be used to subdivide libraries into a file hierarchy, it is STFC’s preference to maintain a managed flat structure using metadata tagging. Standard fields used by projects in STFC</w:t>
      </w:r>
      <w:r w:rsidR="004F2FF9">
        <w:t xml:space="preserve"> are</w:t>
      </w:r>
      <w:r>
        <w:t>:</w:t>
      </w:r>
    </w:p>
    <w:p w14:paraId="0C222D94" w14:textId="0F10D5C1" w:rsidR="009B7C70" w:rsidRDefault="009B7C70" w:rsidP="000F2692">
      <w:pPr>
        <w:pStyle w:val="Paragraphedeliste"/>
        <w:numPr>
          <w:ilvl w:val="0"/>
          <w:numId w:val="1"/>
        </w:numPr>
      </w:pPr>
      <w:r w:rsidRPr="004F2FF9">
        <w:rPr>
          <w:b/>
          <w:bCs/>
        </w:rPr>
        <w:t>Category</w:t>
      </w:r>
      <w:r>
        <w:t>, examples of which include:</w:t>
      </w:r>
    </w:p>
    <w:p w14:paraId="7FFE7FB8" w14:textId="77777777" w:rsidR="009B7C70" w:rsidRDefault="009B7C70" w:rsidP="009B7C70">
      <w:pPr>
        <w:pStyle w:val="Paragraphedeliste"/>
        <w:numPr>
          <w:ilvl w:val="1"/>
          <w:numId w:val="1"/>
        </w:numPr>
      </w:pPr>
      <w:r>
        <w:t>cost book</w:t>
      </w:r>
    </w:p>
    <w:p w14:paraId="693F8082" w14:textId="4135FDBA" w:rsidR="009B7C70" w:rsidRDefault="009B7C70" w:rsidP="009B7C70">
      <w:pPr>
        <w:pStyle w:val="Paragraphedeliste"/>
        <w:numPr>
          <w:ilvl w:val="1"/>
          <w:numId w:val="1"/>
        </w:numPr>
      </w:pPr>
      <w:r w:rsidRPr="009B7C70">
        <w:t>conceptual design</w:t>
      </w:r>
    </w:p>
    <w:p w14:paraId="22A643C1" w14:textId="673067FE" w:rsidR="009B7C70" w:rsidRDefault="009B7C70" w:rsidP="009B7C70">
      <w:pPr>
        <w:pStyle w:val="Paragraphedeliste"/>
        <w:numPr>
          <w:ilvl w:val="1"/>
          <w:numId w:val="1"/>
        </w:numPr>
      </w:pPr>
      <w:r>
        <w:t>management information</w:t>
      </w:r>
    </w:p>
    <w:p w14:paraId="33408EFA" w14:textId="574FBED4" w:rsidR="009B7C70" w:rsidRDefault="009B7C70" w:rsidP="009B7C70">
      <w:pPr>
        <w:pStyle w:val="Paragraphedeliste"/>
        <w:numPr>
          <w:ilvl w:val="1"/>
          <w:numId w:val="1"/>
        </w:numPr>
      </w:pPr>
      <w:r>
        <w:t>meetings</w:t>
      </w:r>
    </w:p>
    <w:p w14:paraId="67A2D77F" w14:textId="39AE30B7" w:rsidR="009B7C70" w:rsidRDefault="009B7C70" w:rsidP="009B7C70">
      <w:pPr>
        <w:pStyle w:val="Paragraphedeliste"/>
        <w:numPr>
          <w:ilvl w:val="1"/>
          <w:numId w:val="1"/>
        </w:numPr>
      </w:pPr>
      <w:r>
        <w:t>procurement</w:t>
      </w:r>
    </w:p>
    <w:p w14:paraId="19DF28E4" w14:textId="4F539C1D" w:rsidR="000F2692" w:rsidRDefault="009B7C70" w:rsidP="009B7C70">
      <w:pPr>
        <w:pStyle w:val="Paragraphedeliste"/>
        <w:numPr>
          <w:ilvl w:val="1"/>
          <w:numId w:val="1"/>
        </w:numPr>
      </w:pPr>
      <w:r>
        <w:t>project plan</w:t>
      </w:r>
    </w:p>
    <w:p w14:paraId="6B01B1BA" w14:textId="3996E416" w:rsidR="009B7C70" w:rsidRDefault="009B7C70" w:rsidP="000F2692">
      <w:pPr>
        <w:pStyle w:val="Paragraphedeliste"/>
        <w:numPr>
          <w:ilvl w:val="0"/>
          <w:numId w:val="1"/>
        </w:numPr>
      </w:pPr>
      <w:r w:rsidRPr="004F2FF9">
        <w:rPr>
          <w:b/>
          <w:bCs/>
        </w:rPr>
        <w:t>Subject</w:t>
      </w:r>
      <w:r>
        <w:t>, for additional categorical breakdown (e.g., if Meetings is the category, Commissioning Review could be the subject of said meeting)</w:t>
      </w:r>
    </w:p>
    <w:p w14:paraId="13D40205" w14:textId="4E8AA669" w:rsidR="000F2692" w:rsidRDefault="009B7C70" w:rsidP="000F2692">
      <w:pPr>
        <w:pStyle w:val="Paragraphedeliste"/>
        <w:numPr>
          <w:ilvl w:val="0"/>
          <w:numId w:val="1"/>
        </w:numPr>
      </w:pPr>
      <w:r w:rsidRPr="004F2FF9">
        <w:rPr>
          <w:b/>
          <w:bCs/>
        </w:rPr>
        <w:t>Document Type</w:t>
      </w:r>
      <w:r>
        <w:t>, examples including:</w:t>
      </w:r>
    </w:p>
    <w:p w14:paraId="13793398" w14:textId="273413BB" w:rsidR="009B7C70" w:rsidRDefault="009B7C70" w:rsidP="009B7C70">
      <w:pPr>
        <w:pStyle w:val="Paragraphedeliste"/>
        <w:numPr>
          <w:ilvl w:val="1"/>
          <w:numId w:val="1"/>
        </w:numPr>
      </w:pPr>
      <w:r>
        <w:t>Minutes</w:t>
      </w:r>
    </w:p>
    <w:p w14:paraId="6F6C5E18" w14:textId="08B40E5E" w:rsidR="009B7C70" w:rsidRDefault="009B7C70" w:rsidP="009B7C70">
      <w:pPr>
        <w:pStyle w:val="Paragraphedeliste"/>
        <w:numPr>
          <w:ilvl w:val="1"/>
          <w:numId w:val="1"/>
        </w:numPr>
      </w:pPr>
      <w:r>
        <w:t>Report</w:t>
      </w:r>
    </w:p>
    <w:p w14:paraId="25B5346B" w14:textId="6BB237BB" w:rsidR="009B7C70" w:rsidRDefault="009B7C70" w:rsidP="009B7C70">
      <w:pPr>
        <w:pStyle w:val="Paragraphedeliste"/>
        <w:numPr>
          <w:ilvl w:val="1"/>
          <w:numId w:val="1"/>
        </w:numPr>
      </w:pPr>
      <w:r>
        <w:t>Agenda</w:t>
      </w:r>
    </w:p>
    <w:p w14:paraId="367A3AAC" w14:textId="7BD79431" w:rsidR="009B7C70" w:rsidRDefault="009B7C70" w:rsidP="009B7C70">
      <w:pPr>
        <w:pStyle w:val="Paragraphedeliste"/>
        <w:numPr>
          <w:ilvl w:val="1"/>
          <w:numId w:val="1"/>
        </w:numPr>
      </w:pPr>
      <w:r>
        <w:t>Risk assessment</w:t>
      </w:r>
    </w:p>
    <w:p w14:paraId="416E7267" w14:textId="7DABB820" w:rsidR="009B7C70" w:rsidRDefault="009B7C70" w:rsidP="009B7C70">
      <w:pPr>
        <w:pStyle w:val="Paragraphedeliste"/>
        <w:numPr>
          <w:ilvl w:val="1"/>
          <w:numId w:val="1"/>
        </w:numPr>
      </w:pPr>
      <w:r>
        <w:t>Drawing</w:t>
      </w:r>
    </w:p>
    <w:p w14:paraId="56AAB5B9" w14:textId="5DEAADA6" w:rsidR="000F2692" w:rsidRDefault="009B7C70" w:rsidP="000F2692">
      <w:pPr>
        <w:pStyle w:val="Paragraphedeliste"/>
        <w:numPr>
          <w:ilvl w:val="0"/>
          <w:numId w:val="1"/>
        </w:numPr>
      </w:pPr>
      <w:r w:rsidRPr="004F2FF9">
        <w:rPr>
          <w:b/>
          <w:bCs/>
        </w:rPr>
        <w:t>Status</w:t>
      </w:r>
      <w:r w:rsidR="004F2FF9">
        <w:t>, examples of which include:</w:t>
      </w:r>
    </w:p>
    <w:p w14:paraId="22C84AD7" w14:textId="7620D934" w:rsidR="004F2FF9" w:rsidRDefault="004F2FF9" w:rsidP="004F2FF9">
      <w:pPr>
        <w:pStyle w:val="Paragraphedeliste"/>
        <w:numPr>
          <w:ilvl w:val="1"/>
          <w:numId w:val="1"/>
        </w:numPr>
      </w:pPr>
      <w:r>
        <w:t>Current</w:t>
      </w:r>
    </w:p>
    <w:p w14:paraId="6E49AFD7" w14:textId="0E118A7A" w:rsidR="004F2FF9" w:rsidRDefault="004F2FF9" w:rsidP="004F2FF9">
      <w:pPr>
        <w:pStyle w:val="Paragraphedeliste"/>
        <w:numPr>
          <w:ilvl w:val="1"/>
          <w:numId w:val="1"/>
        </w:numPr>
      </w:pPr>
      <w:r>
        <w:t>Draft</w:t>
      </w:r>
    </w:p>
    <w:p w14:paraId="06BFC578" w14:textId="03BB6423" w:rsidR="004F2FF9" w:rsidRDefault="004F2FF9" w:rsidP="004F2FF9">
      <w:pPr>
        <w:pStyle w:val="Paragraphedeliste"/>
        <w:numPr>
          <w:ilvl w:val="1"/>
          <w:numId w:val="1"/>
        </w:numPr>
      </w:pPr>
      <w:r>
        <w:t>Archive</w:t>
      </w:r>
    </w:p>
    <w:p w14:paraId="41918F0D" w14:textId="0A3666AD" w:rsidR="000F2692" w:rsidRPr="004F2FF9" w:rsidRDefault="000F2692" w:rsidP="000F2692">
      <w:pPr>
        <w:pStyle w:val="Paragraphedeliste"/>
        <w:numPr>
          <w:ilvl w:val="0"/>
          <w:numId w:val="1"/>
        </w:numPr>
        <w:rPr>
          <w:b/>
          <w:bCs/>
        </w:rPr>
      </w:pPr>
      <w:r w:rsidRPr="004F2FF9">
        <w:rPr>
          <w:b/>
          <w:bCs/>
        </w:rPr>
        <w:t>D</w:t>
      </w:r>
      <w:r w:rsidR="009B7C70" w:rsidRPr="004F2FF9">
        <w:rPr>
          <w:b/>
          <w:bCs/>
        </w:rPr>
        <w:t>ate issued</w:t>
      </w:r>
    </w:p>
    <w:p w14:paraId="13AB8EF8" w14:textId="2892C5EA" w:rsidR="000F2692" w:rsidRDefault="009B7C70" w:rsidP="000F2692">
      <w:pPr>
        <w:pStyle w:val="Paragraphedeliste"/>
        <w:numPr>
          <w:ilvl w:val="0"/>
          <w:numId w:val="1"/>
        </w:numPr>
      </w:pPr>
      <w:r w:rsidRPr="004F2FF9">
        <w:rPr>
          <w:b/>
          <w:bCs/>
        </w:rPr>
        <w:t>Responsible person(s)</w:t>
      </w:r>
      <w:r>
        <w:t xml:space="preserve"> (if applicable)</w:t>
      </w:r>
    </w:p>
    <w:p w14:paraId="7D4B3ABF" w14:textId="77777777" w:rsidR="00561600" w:rsidRDefault="004F2FF9" w:rsidP="000F2692">
      <w:r>
        <w:t>Metadata types are flexible and can be more curated if necessary.</w:t>
      </w:r>
    </w:p>
    <w:p w14:paraId="0A601D1D" w14:textId="56162FE8" w:rsidR="004F2FF9" w:rsidRDefault="004F2FF9" w:rsidP="000F2692">
      <w:r>
        <w:t xml:space="preserve">From these data types, views are created in each library to group files (see </w:t>
      </w:r>
      <w:r w:rsidR="00561600">
        <w:fldChar w:fldCharType="begin"/>
      </w:r>
      <w:r w:rsidR="00561600">
        <w:instrText xml:space="preserve"> REF _Ref177637923 \h </w:instrText>
      </w:r>
      <w:r w:rsidR="00561600">
        <w:fldChar w:fldCharType="separate"/>
      </w:r>
      <w:r w:rsidR="00561600">
        <w:t>appendix</w:t>
      </w:r>
      <w:r w:rsidR="00561600">
        <w:fldChar w:fldCharType="end"/>
      </w:r>
      <w:r>
        <w:t xml:space="preserve"> for example</w:t>
      </w:r>
      <w:r w:rsidR="00561600">
        <w:t>s</w:t>
      </w:r>
      <w:r>
        <w:t>).</w:t>
      </w:r>
      <w:r w:rsidR="00561600">
        <w:t xml:space="preserve"> Each view can be grouped by two metadata types and can display as many data fields as necessary. </w:t>
      </w:r>
    </w:p>
    <w:p w14:paraId="0F779FB4" w14:textId="045F463C" w:rsidR="00561600" w:rsidRDefault="00561600" w:rsidP="000F2692">
      <w:r>
        <w:t>The SharePoint site can store up to 25TB of data and manage individual files of up to 250GB.</w:t>
      </w:r>
    </w:p>
    <w:p w14:paraId="644BA7FE" w14:textId="524BE729" w:rsidR="00561600" w:rsidRDefault="000F2692" w:rsidP="000F2692">
      <w:r>
        <w:t xml:space="preserve">Version control </w:t>
      </w:r>
      <w:r w:rsidR="00561600">
        <w:t xml:space="preserve">can also </w:t>
      </w:r>
      <w:r>
        <w:t>be managed internally by SharePoint. Each document can have up to 50000 versions</w:t>
      </w:r>
      <w:r w:rsidR="00561600">
        <w:t xml:space="preserve"> and is mostly limited by the storage capacity of the site.</w:t>
      </w:r>
    </w:p>
    <w:p w14:paraId="2DA30C1C" w14:textId="63145846" w:rsidR="004F2FF9" w:rsidRDefault="004F2FF9">
      <w:r>
        <w:br w:type="page"/>
      </w:r>
    </w:p>
    <w:p w14:paraId="1E8B67EC" w14:textId="36C62B82" w:rsidR="004F2FF9" w:rsidRDefault="004F2FF9" w:rsidP="004F2FF9">
      <w:pPr>
        <w:pStyle w:val="Titre2"/>
      </w:pPr>
      <w:bookmarkStart w:id="0" w:name="_Ref177637923"/>
      <w:r>
        <w:lastRenderedPageBreak/>
        <w:t xml:space="preserve">Appendix </w:t>
      </w:r>
      <w:r w:rsidR="00561600">
        <w:t>–</w:t>
      </w:r>
      <w:bookmarkEnd w:id="0"/>
      <w:r>
        <w:t xml:space="preserve"> </w:t>
      </w:r>
      <w:r w:rsidR="00561600">
        <w:t>Document Library Views</w:t>
      </w:r>
    </w:p>
    <w:p w14:paraId="66E1EEC1" w14:textId="57E894C6" w:rsidR="00E94DB7" w:rsidRPr="00E94DB7" w:rsidRDefault="00E94DB7" w:rsidP="00E94DB7">
      <w:r>
        <w:t>The following examples are taken from a radiation test facility safety SharePoint site.</w:t>
      </w:r>
    </w:p>
    <w:p w14:paraId="40798580" w14:textId="4F4D24B3" w:rsidR="00561600" w:rsidRDefault="00561600" w:rsidP="00561600">
      <w:pPr>
        <w:pStyle w:val="Titre4"/>
      </w:pPr>
      <w:r>
        <w:t>Example 1: Current RTF documents</w:t>
      </w:r>
    </w:p>
    <w:p w14:paraId="04D7D386" w14:textId="280DC039" w:rsidR="008723AA" w:rsidRPr="00561600" w:rsidRDefault="008723AA" w:rsidP="00561600">
      <w:r>
        <w:t xml:space="preserve">The selected </w:t>
      </w:r>
      <w:r w:rsidR="00561600">
        <w:t xml:space="preserve">view displays only the current and draft documentation for </w:t>
      </w:r>
      <w:r w:rsidR="00E94DB7">
        <w:t xml:space="preserve">a </w:t>
      </w:r>
      <w:r w:rsidR="00561600">
        <w:t>library. They are grouped by facility and document type:</w:t>
      </w:r>
    </w:p>
    <w:p w14:paraId="4C8B446F" w14:textId="00B6615F" w:rsidR="008723AA" w:rsidRDefault="00561600" w:rsidP="004F2FF9">
      <w:r>
        <w:rPr>
          <w:noProof/>
        </w:rPr>
        <w:drawing>
          <wp:inline distT="0" distB="0" distL="0" distR="0" wp14:anchorId="4605BF04" wp14:editId="0F3AD543">
            <wp:extent cx="3600000" cy="1608298"/>
            <wp:effectExtent l="19050" t="19050" r="19685" b="11430"/>
            <wp:docPr id="527767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6764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08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BFFA9F4" w14:textId="77777777" w:rsidR="008723AA" w:rsidRDefault="008723AA" w:rsidP="004F2FF9"/>
    <w:p w14:paraId="5D72D905" w14:textId="65E68A82" w:rsidR="00561600" w:rsidRDefault="00E94DB7" w:rsidP="004F2FF9">
      <w:r>
        <w:rPr>
          <w:noProof/>
        </w:rPr>
        <w:drawing>
          <wp:inline distT="0" distB="0" distL="0" distR="0" wp14:anchorId="3CC6154C" wp14:editId="093B25E4">
            <wp:extent cx="6633845" cy="3260725"/>
            <wp:effectExtent l="19050" t="19050" r="14605" b="15875"/>
            <wp:docPr id="8143573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260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54D67C6" w14:textId="32941290" w:rsidR="00373907" w:rsidRDefault="00373907">
      <w:r>
        <w:br w:type="page"/>
      </w:r>
    </w:p>
    <w:p w14:paraId="51B151C1" w14:textId="20738B78" w:rsidR="00561600" w:rsidRDefault="00561600" w:rsidP="00561600">
      <w:pPr>
        <w:pStyle w:val="Titre4"/>
      </w:pPr>
      <w:r>
        <w:lastRenderedPageBreak/>
        <w:t>Example 2: All RTF documents</w:t>
      </w:r>
    </w:p>
    <w:p w14:paraId="72C34EB1" w14:textId="6ABE5AD2" w:rsidR="00561600" w:rsidRDefault="00561600" w:rsidP="004F2FF9">
      <w:r>
        <w:t>This view displays all documentation</w:t>
      </w:r>
      <w:r w:rsidR="00E94DB7">
        <w:t xml:space="preserve"> from the same library as example 1</w:t>
      </w:r>
      <w:r>
        <w:t>, including archived and superseded files. There are different columns on display in this view</w:t>
      </w:r>
      <w:r w:rsidR="00E94DB7">
        <w:t>, though it is grouped in the same way:</w:t>
      </w:r>
    </w:p>
    <w:p w14:paraId="43DEB6EB" w14:textId="7D8B3AD4" w:rsidR="00561600" w:rsidRDefault="00561600" w:rsidP="004F2FF9">
      <w:r>
        <w:rPr>
          <w:noProof/>
        </w:rPr>
        <w:drawing>
          <wp:inline distT="0" distB="0" distL="0" distR="0" wp14:anchorId="14293596" wp14:editId="571A88AB">
            <wp:extent cx="3600000" cy="1608298"/>
            <wp:effectExtent l="19050" t="19050" r="19685" b="11430"/>
            <wp:docPr id="647996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6082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215B60A9" w14:textId="77777777" w:rsidR="00E94DB7" w:rsidRDefault="00E94DB7" w:rsidP="004F2FF9"/>
    <w:p w14:paraId="23BF32AA" w14:textId="30909F4E" w:rsidR="008723AA" w:rsidRPr="004F2FF9" w:rsidRDefault="008723AA" w:rsidP="004F2FF9">
      <w:r>
        <w:rPr>
          <w:noProof/>
        </w:rPr>
        <w:drawing>
          <wp:inline distT="0" distB="0" distL="0" distR="0" wp14:anchorId="43A5CD59" wp14:editId="2CA32124">
            <wp:extent cx="6633845" cy="3260725"/>
            <wp:effectExtent l="19050" t="19050" r="14605" b="15875"/>
            <wp:docPr id="162020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260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sectPr w:rsidR="008723AA" w:rsidRPr="004F2FF9" w:rsidSect="000F2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206"/>
    <w:multiLevelType w:val="hybridMultilevel"/>
    <w:tmpl w:val="222E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92"/>
    <w:rsid w:val="000F2692"/>
    <w:rsid w:val="001F42FF"/>
    <w:rsid w:val="00210588"/>
    <w:rsid w:val="00373907"/>
    <w:rsid w:val="004F2FF9"/>
    <w:rsid w:val="00555AAA"/>
    <w:rsid w:val="00561600"/>
    <w:rsid w:val="00750AC5"/>
    <w:rsid w:val="008723AA"/>
    <w:rsid w:val="009B7C70"/>
    <w:rsid w:val="00DE157D"/>
    <w:rsid w:val="00E258DB"/>
    <w:rsid w:val="00E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E35"/>
  <w15:chartTrackingRefBased/>
  <w15:docId w15:val="{D1CBC4C4-3AFB-4329-949C-64441B72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F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F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F2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26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26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26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26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26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26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26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26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26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2692"/>
    <w:rPr>
      <w:b/>
      <w:bCs/>
      <w:smallCaps/>
      <w:color w:val="0F4761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8723A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2EF8-FA74-4AD9-825D-5444B118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Diakun, Joseph (STFC,DL,AST)</dc:creator>
  <cp:keywords/>
  <dc:description/>
  <cp:lastModifiedBy>adele de-valera</cp:lastModifiedBy>
  <cp:revision>2</cp:revision>
  <dcterms:created xsi:type="dcterms:W3CDTF">2024-09-19T12:37:00Z</dcterms:created>
  <dcterms:modified xsi:type="dcterms:W3CDTF">2024-09-19T12:37:00Z</dcterms:modified>
</cp:coreProperties>
</file>