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AD43" w14:textId="77777777" w:rsidR="00255F3D" w:rsidRDefault="00955D4F">
      <w:pPr>
        <w:rPr>
          <w:lang w:val="en-US"/>
        </w:rPr>
      </w:pPr>
      <w:r>
        <w:rPr>
          <w:lang w:val="en-US"/>
        </w:rPr>
        <w:t>(</w:t>
      </w:r>
      <w:r w:rsidR="00F74F3D">
        <w:rPr>
          <w:lang w:val="en-US"/>
        </w:rPr>
        <w:t>ISAS website</w:t>
      </w:r>
      <w:r>
        <w:rPr>
          <w:lang w:val="en-US"/>
        </w:rPr>
        <w:t>)</w:t>
      </w:r>
    </w:p>
    <w:p w14:paraId="62D5ADF7" w14:textId="77777777" w:rsidR="00F74F3D" w:rsidRDefault="00F74F3D">
      <w:pPr>
        <w:rPr>
          <w:lang w:val="en-US"/>
        </w:rPr>
      </w:pPr>
    </w:p>
    <w:p w14:paraId="3A7FD9A3" w14:textId="77777777" w:rsidR="00F74F3D" w:rsidRDefault="00F74F3D" w:rsidP="00F74F3D">
      <w:pPr>
        <w:pStyle w:val="Title"/>
        <w:rPr>
          <w:lang w:val="en-GB"/>
        </w:rPr>
      </w:pPr>
      <w:r>
        <w:rPr>
          <w:lang w:val="en-US"/>
        </w:rPr>
        <w:t>WP5:</w:t>
      </w:r>
      <w:r w:rsidRPr="00F74F3D">
        <w:rPr>
          <w:lang w:val="en-GB"/>
        </w:rPr>
        <w:t xml:space="preserve"> </w:t>
      </w:r>
      <w:r>
        <w:rPr>
          <w:lang w:val="en-GB"/>
        </w:rPr>
        <w:t xml:space="preserve">Integration into the design of a sustainable LINAC cryomodule </w:t>
      </w:r>
    </w:p>
    <w:p w14:paraId="55CD142F" w14:textId="77777777" w:rsidR="00F74F3D" w:rsidRDefault="00F74F3D" w:rsidP="00F74F3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2"/>
          <w:szCs w:val="22"/>
          <w:lang w:val="en-GB"/>
        </w:rPr>
      </w:pPr>
    </w:p>
    <w:p w14:paraId="378C4456" w14:textId="77777777" w:rsidR="00F74F3D" w:rsidRDefault="00F74F3D" w:rsidP="00F74F3D">
      <w:pPr>
        <w:pStyle w:val="Heading1"/>
        <w:rPr>
          <w:lang w:val="en-GB"/>
        </w:rPr>
      </w:pPr>
      <w:r w:rsidRPr="00955D4F">
        <w:rPr>
          <w:highlight w:val="yellow"/>
          <w:lang w:val="en-GB"/>
        </w:rPr>
        <w:t>Main Goal</w:t>
      </w:r>
    </w:p>
    <w:p w14:paraId="1B267B59" w14:textId="77777777" w:rsidR="00F74F3D" w:rsidRPr="00F74F3D" w:rsidRDefault="00F74F3D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The objective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of </w:t>
      </w:r>
      <w:proofErr w:type="spellStart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2C50EA">
        <w:rPr>
          <w:rFonts w:ascii="Optima" w:hAnsi="Optima" w:cs="Times New Roman"/>
          <w:b/>
          <w:bCs/>
          <w:kern w:val="0"/>
          <w:sz w:val="22"/>
          <w:szCs w:val="22"/>
          <w:lang w:val="en-GB"/>
        </w:rPr>
        <w:t>WP5</w:t>
      </w:r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is to address the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common </w:t>
      </w:r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engineering challenges associated with a coherent integration of the </w:t>
      </w:r>
      <w:proofErr w:type="spellStart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technologies into a LINAC cryomodule. Leveraging the developments in the ESS cryomodules, a new parametric design of a LINAC cryomodule will be developed to address the engineering challenges of integrating each of the new technologies. </w:t>
      </w:r>
    </w:p>
    <w:p w14:paraId="2E56D296" w14:textId="77777777" w:rsidR="00F74F3D" w:rsidRPr="00F74F3D" w:rsidRDefault="00F74F3D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</w:p>
    <w:p w14:paraId="53D98262" w14:textId="77777777" w:rsidR="00F74F3D" w:rsidRDefault="00F74F3D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In addition, the aim is to develop for the first time a fully integrated parametric design that incorporates the entire portfolio of </w:t>
      </w:r>
      <w:proofErr w:type="spellStart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energy-saving technologies to achieve the largest possible energy savings for new accelerating systems. To maximise the impact, the parametric design of the LINAC cryomodule will embrace concrete guidelines as a toolbox for engineers to expedite the integration of </w:t>
      </w:r>
      <w:proofErr w:type="spellStart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technologies in the widest variety of current and future accelerator-driven facilities and realize energy savings without delay.</w:t>
      </w:r>
    </w:p>
    <w:p w14:paraId="5A6BC4CA" w14:textId="77777777" w:rsidR="00F74F3D" w:rsidRPr="00F74F3D" w:rsidRDefault="00F74F3D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</w:p>
    <w:p w14:paraId="73695564" w14:textId="77777777" w:rsidR="00F74F3D" w:rsidRPr="00F74F3D" w:rsidRDefault="00F74F3D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To unlock the full energy-saving capability of this LINAC cryomodule in energy recovery mode, the objective of </w:t>
      </w:r>
      <w:proofErr w:type="spellStart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is to also address the challenging beam dynamics requirements when operating the new cryomodule in new ERL-based accelerators with recirculating beams. This entails a major step beyond the state of the art and would for the first time truly integrate the most relevant energy-saving technologies into the designs of ERL-based accelerators.</w:t>
      </w:r>
    </w:p>
    <w:p w14:paraId="2AFDDFA1" w14:textId="77777777" w:rsidR="00F74F3D" w:rsidRDefault="00F74F3D" w:rsidP="00F74F3D">
      <w:pPr>
        <w:pStyle w:val="Heading1"/>
        <w:rPr>
          <w:lang w:val="en-US"/>
        </w:rPr>
      </w:pPr>
      <w:r w:rsidRPr="00955D4F">
        <w:rPr>
          <w:highlight w:val="yellow"/>
          <w:lang w:val="en-US"/>
        </w:rPr>
        <w:t>WP organization</w:t>
      </w:r>
    </w:p>
    <w:p w14:paraId="6878F888" w14:textId="77777777" w:rsidR="00F74F3D" w:rsidRDefault="009A5D2F" w:rsidP="00F74F3D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>
        <w:rPr>
          <w:rFonts w:ascii="Optima" w:hAnsi="Optima" w:cs="Times New Roman"/>
          <w:kern w:val="0"/>
          <w:sz w:val="22"/>
          <w:szCs w:val="22"/>
          <w:lang w:val="en-GB"/>
        </w:rPr>
        <w:t>Four</w:t>
      </w:r>
      <w:r w:rsid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Institutions are involved in the </w:t>
      </w:r>
      <w:proofErr w:type="spellStart"/>
      <w:r w:rsidR="00F74F3D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WP5</w:t>
      </w:r>
    </w:p>
    <w:p w14:paraId="03E35978" w14:textId="77777777" w:rsidR="00F74F3D" w:rsidRDefault="009A5D2F" w:rsidP="00F7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>
        <w:rPr>
          <w:rFonts w:ascii="Optima" w:hAnsi="Optima" w:cs="Times New Roman"/>
          <w:kern w:val="0"/>
          <w:sz w:val="22"/>
          <w:szCs w:val="22"/>
          <w:lang w:val="en-GB"/>
        </w:rPr>
        <w:t>EUROPEAN SPALLATION SOURCE ERIC</w:t>
      </w:r>
      <w:r w:rsidR="00F74F3D">
        <w:rPr>
          <w:rFonts w:ascii="Optima" w:hAnsi="Optima" w:cs="Times New Roman"/>
          <w:kern w:val="0"/>
          <w:sz w:val="22"/>
          <w:szCs w:val="22"/>
          <w:lang w:val="en-GB"/>
        </w:rPr>
        <w:t xml:space="preserve"> (</w:t>
      </w:r>
      <w:r w:rsidR="00F74F3D" w:rsidRPr="009A5D2F">
        <w:rPr>
          <w:rFonts w:ascii="Optima" w:hAnsi="Optima" w:cs="Times New Roman"/>
          <w:b/>
          <w:bCs/>
          <w:kern w:val="0"/>
          <w:sz w:val="22"/>
          <w:szCs w:val="22"/>
          <w:lang w:val="en-GB"/>
        </w:rPr>
        <w:t>ESS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, Sweden</w:t>
      </w:r>
      <w:r w:rsidR="00F74F3D">
        <w:rPr>
          <w:rFonts w:ascii="Optima" w:hAnsi="Optima" w:cs="Times New Roman"/>
          <w:kern w:val="0"/>
          <w:sz w:val="22"/>
          <w:szCs w:val="22"/>
          <w:lang w:val="en-GB"/>
        </w:rPr>
        <w:t>)</w:t>
      </w:r>
    </w:p>
    <w:p w14:paraId="43EBFED3" w14:textId="77777777" w:rsidR="00F74F3D" w:rsidRDefault="009A5D2F" w:rsidP="00F7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>
        <w:rPr>
          <w:rFonts w:ascii="Optima" w:hAnsi="Optima" w:cs="Times New Roman"/>
          <w:kern w:val="0"/>
          <w:sz w:val="22"/>
          <w:szCs w:val="22"/>
          <w:lang w:val="en-GB"/>
        </w:rPr>
        <w:t>ORGANIZATION EUROPEENE POUR LA RECHERCHE NUCLEAIRE (</w:t>
      </w: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GB"/>
        </w:rPr>
        <w:t>CERN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, Switzerland)</w:t>
      </w:r>
    </w:p>
    <w:p w14:paraId="4F9BC143" w14:textId="77777777" w:rsidR="009A5D2F" w:rsidRDefault="009A5D2F" w:rsidP="00F7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  <w:r w:rsidRPr="009A5D2F">
        <w:rPr>
          <w:rFonts w:ascii="Optima" w:hAnsi="Optima" w:cs="Times New Roman"/>
          <w:kern w:val="0"/>
          <w:sz w:val="22"/>
          <w:szCs w:val="22"/>
          <w:lang w:val="en-US"/>
        </w:rPr>
        <w:t>CENTRE NATIONAL DE LA RECHERCHE S</w:t>
      </w:r>
      <w:r>
        <w:rPr>
          <w:rFonts w:ascii="Optima" w:hAnsi="Optima" w:cs="Times New Roman"/>
          <w:kern w:val="0"/>
          <w:sz w:val="22"/>
          <w:szCs w:val="22"/>
          <w:lang w:val="en-US"/>
        </w:rPr>
        <w:t>CIENTIFIQUE (</w:t>
      </w: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US"/>
        </w:rPr>
        <w:t>CNRS</w:t>
      </w:r>
      <w:r>
        <w:rPr>
          <w:rFonts w:ascii="Optima" w:hAnsi="Optima" w:cs="Times New Roman"/>
          <w:kern w:val="0"/>
          <w:sz w:val="22"/>
          <w:szCs w:val="22"/>
          <w:lang w:val="en-US"/>
        </w:rPr>
        <w:t>, France)</w:t>
      </w:r>
    </w:p>
    <w:p w14:paraId="255214AA" w14:textId="77777777" w:rsidR="00F74F3D" w:rsidRDefault="009A5D2F" w:rsidP="00F74F3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  <w:r>
        <w:rPr>
          <w:rFonts w:ascii="Optima" w:hAnsi="Optima" w:cs="Times New Roman"/>
          <w:kern w:val="0"/>
          <w:sz w:val="22"/>
          <w:szCs w:val="22"/>
          <w:lang w:val="en-US"/>
        </w:rPr>
        <w:t>ECOLE POLITECHNIQUE FEDERALE DE LAUSANE (</w:t>
      </w: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US"/>
        </w:rPr>
        <w:t>EPFL</w:t>
      </w:r>
      <w:r>
        <w:rPr>
          <w:rFonts w:ascii="Optima" w:hAnsi="Optima" w:cs="Times New Roman"/>
          <w:kern w:val="0"/>
          <w:sz w:val="22"/>
          <w:szCs w:val="22"/>
          <w:lang w:val="en-US"/>
        </w:rPr>
        <w:t>, SWITZERLAND)</w:t>
      </w:r>
    </w:p>
    <w:p w14:paraId="58EF71C2" w14:textId="77777777" w:rsidR="009A5D2F" w:rsidRDefault="009A5D2F" w:rsidP="009A5D2F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</w:p>
    <w:p w14:paraId="74EBFB8F" w14:textId="77777777" w:rsidR="009A5D2F" w:rsidRDefault="009A5D2F" w:rsidP="009A5D2F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  <w:r>
        <w:rPr>
          <w:rFonts w:ascii="Optima" w:hAnsi="Optima" w:cs="Times New Roman"/>
          <w:kern w:val="0"/>
          <w:sz w:val="22"/>
          <w:szCs w:val="22"/>
          <w:lang w:val="en-US"/>
        </w:rPr>
        <w:t>WP5 Main contacts:</w:t>
      </w:r>
    </w:p>
    <w:p w14:paraId="1C1EA638" w14:textId="77777777" w:rsidR="009A5D2F" w:rsidRDefault="009A5D2F" w:rsidP="009A5D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GB"/>
        </w:rPr>
        <w:t>ESS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: Nuno Elias (WP Leader) (ESS, Sweden)</w:t>
      </w:r>
    </w:p>
    <w:p w14:paraId="5EDB8331" w14:textId="77777777" w:rsidR="009A5D2F" w:rsidRDefault="009A5D2F" w:rsidP="009A5D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GB"/>
        </w:rPr>
        <w:t>CERN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: Vittorio Parma (Deputy WP leader)</w:t>
      </w:r>
    </w:p>
    <w:p w14:paraId="2644C844" w14:textId="77777777" w:rsidR="009A5D2F" w:rsidRDefault="009A5D2F" w:rsidP="009A5D2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US"/>
        </w:rPr>
        <w:t>CNRS</w:t>
      </w:r>
      <w:r>
        <w:rPr>
          <w:rFonts w:ascii="Optima" w:hAnsi="Optima" w:cs="Times New Roman"/>
          <w:kern w:val="0"/>
          <w:sz w:val="22"/>
          <w:szCs w:val="22"/>
          <w:lang w:val="en-US"/>
        </w:rPr>
        <w:t xml:space="preserve">: Guillaume </w:t>
      </w:r>
      <w:proofErr w:type="spellStart"/>
      <w:r>
        <w:rPr>
          <w:rFonts w:ascii="Optima" w:hAnsi="Optima" w:cs="Times New Roman"/>
          <w:kern w:val="0"/>
          <w:sz w:val="22"/>
          <w:szCs w:val="22"/>
          <w:lang w:val="en-US"/>
        </w:rPr>
        <w:t>Olry</w:t>
      </w:r>
      <w:proofErr w:type="spellEnd"/>
    </w:p>
    <w:p w14:paraId="37C3ADE6" w14:textId="77777777" w:rsidR="00877776" w:rsidRDefault="009A5D2F" w:rsidP="0087777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US"/>
        </w:rPr>
      </w:pPr>
      <w:r w:rsidRPr="009A5D2F">
        <w:rPr>
          <w:rFonts w:ascii="Optima" w:hAnsi="Optima" w:cs="Times New Roman"/>
          <w:b/>
          <w:bCs/>
          <w:kern w:val="0"/>
          <w:sz w:val="22"/>
          <w:szCs w:val="22"/>
          <w:lang w:val="en-US"/>
        </w:rPr>
        <w:t>EPFL</w:t>
      </w:r>
      <w:r w:rsidRPr="009A5D2F">
        <w:rPr>
          <w:rFonts w:ascii="Optima" w:hAnsi="Optima" w:cs="Times New Roman"/>
          <w:kern w:val="0"/>
          <w:sz w:val="22"/>
          <w:szCs w:val="22"/>
          <w:lang w:val="en-US"/>
        </w:rPr>
        <w:t xml:space="preserve">: </w:t>
      </w:r>
      <w:r>
        <w:rPr>
          <w:rFonts w:ascii="Optima" w:hAnsi="Optima" w:cs="Times New Roman"/>
          <w:kern w:val="0"/>
          <w:sz w:val="22"/>
          <w:szCs w:val="22"/>
          <w:lang w:val="en-US"/>
        </w:rPr>
        <w:t>Mike Seidel</w:t>
      </w:r>
    </w:p>
    <w:p w14:paraId="792071E3" w14:textId="77777777" w:rsidR="00A061E3" w:rsidRDefault="00A061E3" w:rsidP="00A061E3">
      <w:pPr>
        <w:pStyle w:val="Heading1"/>
      </w:pPr>
      <w:r>
        <w:rPr>
          <w:rFonts w:ascii="Optima" w:hAnsi="Optima" w:cs="Times New Roman"/>
          <w:noProof/>
          <w:kern w:val="0"/>
          <w:sz w:val="22"/>
          <w:szCs w:val="22"/>
          <w:lang w:val="en-US"/>
        </w:rPr>
        <w:lastRenderedPageBreak/>
        <w:drawing>
          <wp:inline distT="0" distB="0" distL="0" distR="0" wp14:anchorId="4BE1BF95" wp14:editId="5C54BCC1">
            <wp:extent cx="5731510" cy="3341370"/>
            <wp:effectExtent l="0" t="0" r="0" b="0"/>
            <wp:docPr id="417676037" name="Picture 1" descr="A blue and white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76037" name="Picture 1" descr="A blue and white machin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1689" w14:textId="62A4837A" w:rsidR="00A061E3" w:rsidRDefault="00A061E3" w:rsidP="00A061E3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Artist view of the ESS cryomodule serving as a base to explore the integration of iSAS energy saving technologies and the parametric design of a new cryomodule.</w:t>
      </w:r>
    </w:p>
    <w:p w14:paraId="68F3182F" w14:textId="33F27FE0" w:rsidR="009A5D2F" w:rsidRDefault="00877776" w:rsidP="00877776">
      <w:pPr>
        <w:pStyle w:val="Heading1"/>
        <w:rPr>
          <w:lang w:val="en-GB"/>
        </w:rPr>
      </w:pPr>
      <w:r>
        <w:rPr>
          <w:rFonts w:ascii="Optima" w:hAnsi="Optima" w:cs="Times New Roman"/>
          <w:kern w:val="0"/>
          <w:sz w:val="22"/>
          <w:szCs w:val="22"/>
          <w:lang w:val="en-US"/>
        </w:rPr>
        <w:br w:type="column"/>
      </w:r>
      <w:r w:rsidR="009A5D2F" w:rsidRPr="00955D4F">
        <w:rPr>
          <w:highlight w:val="yellow"/>
          <w:lang w:val="en-GB"/>
        </w:rPr>
        <w:lastRenderedPageBreak/>
        <w:t>Impact</w:t>
      </w:r>
    </w:p>
    <w:p w14:paraId="50F3B5CA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Cryomodule designs developed for specific projects are frequently modified for use in later projects. For example,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the TESLA cryomodule was initially developed for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</w:t>
      </w:r>
      <w:r w:rsidRPr="0001085F">
        <w:rPr>
          <w:rFonts w:ascii="Optima" w:hAnsi="Optima" w:cs="Times New Roman"/>
          <w:color w:val="000000"/>
          <w:kern w:val="0"/>
          <w:sz w:val="14"/>
          <w:szCs w:val="14"/>
          <w:lang w:val="en-GB"/>
        </w:rPr>
        <w:t>+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</w:t>
      </w:r>
      <w:proofErr w:type="spellEnd"/>
      <w:r w:rsidRPr="0001085F">
        <w:rPr>
          <w:rFonts w:ascii="Optima" w:hAnsi="Optima" w:cs="Times New Roman"/>
          <w:color w:val="000000"/>
          <w:kern w:val="0"/>
          <w:sz w:val="14"/>
          <w:szCs w:val="14"/>
          <w:lang w:val="en-GB"/>
        </w:rPr>
        <w:t>-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-colliders (e.g., the ILC), but has been adopted for the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EuXFEL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and the LCLS II FEL light sources. The new technologies developed by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iSAS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constitute a major step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forward for accelerators using superconducting cavities, for both large RIs as well as industrial-type accelerators. But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it is not sufficient to only validate the technologies themselves, it must also be demonstrated that the technologies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can be integrated into a cryomodule and perform as designed in a real accelerator environment. This is where the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WP5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parametric design of a sustainable cryomodule, combined with the results from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WP6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, will make an impact.</w:t>
      </w:r>
    </w:p>
    <w:p w14:paraId="3091E3BF" w14:textId="77777777" w:rsid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</w:p>
    <w:p w14:paraId="67DAD64C" w14:textId="77777777" w:rsid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Once the sustainable LINAC cryomodule has been fully vetted, it can serve as a model for energy-efficient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technology to be adapted for a variety of SRF accelerator applications, both for large RIs and compact accelerators.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Operation at 4.2 K will make superconducting RF technology available in universities and small research facilities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that are not able to finance and operate a 2-K cryogenic plant, which requires dedicated staff just to maintain the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plant. Future integration in the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iSAS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cryomodule of new, high-capacity cryocoolers coming on the market will enable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many new small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SRF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accelerators such as Compton back-scattered sources and FELs, with high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efficiency and exceptional performance. This will unlock new research opportunities in biology, chemistry, material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science and many other fields, some of which are now only niche research topics due to the lack of available facilities.</w:t>
      </w:r>
    </w:p>
    <w:p w14:paraId="515C1F7D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</w:p>
    <w:p w14:paraId="5630DE3E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The viability of proposals for future RIs with high-power electron beams depends on the availability of a fully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developed cryomodule that can be used in energy recovery mode. Clearly, large collider projects such as the FCC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and others must rely on tested and matured technologies. The developments in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WP5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set the stage for a future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validation of the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iSAS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cryomodule, including its energy-saving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iSAS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technologies, in a multi-pass ERL testbed such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as PERLE. This in time will enable the European particle physics community to address the advantages of colliders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with high-power electron or positron beams, knowing that the technology is ready for deployment.</w:t>
      </w:r>
    </w:p>
    <w:p w14:paraId="2BCAD694" w14:textId="77777777" w:rsid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</w:p>
    <w:p w14:paraId="1F96AE61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In addition, the beam-dynamics studies will help optimize the cryomodule for high-current ERL mode, with a view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to attain best possible energy-recovery efficiency. The beam intensity and recovery efficiency are limited by particle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losses and the onset of beam instabilities driven by the beam’s interaction with various components in the module.</w:t>
      </w:r>
    </w:p>
    <w:p w14:paraId="72AC8512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Countermeasures developed in the </w:t>
      </w:r>
      <w:proofErr w:type="spellStart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iSAS</w:t>
      </w:r>
      <w:proofErr w:type="spellEnd"/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project, related to HOM damping, cavity alignment tolerance specification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and possibly beam orbit feedback will be considered. Thus, the module will be fully optimized for all aspects of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energy efficiency: RF, cryogenics and beam energy recovery to maximize beam intensity per unit of grid power.</w:t>
      </w:r>
    </w:p>
    <w:p w14:paraId="5F79E877" w14:textId="77777777" w:rsid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</w:p>
    <w:p w14:paraId="62D810D8" w14:textId="77777777" w:rsidR="0001085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The beam dynamics solutions are designed to maximize the beam current in ERL-based accelerators. Achieving these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high intensities has a major impact on the science performance of the RI, either by enabling maximum luminosities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in a collider application or by enabling the brightest X-ray beams in an FEL facility. The beam dynamics study will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also address the problem of particle losses at levels that are unacceptable for radiation protection. The deceleration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of a spent beam and optimal energy recovery in the SRF cavities is associated with anti-damping and the generation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of beam tails, causing such unwanted losses. The study aims at reducing these losses, allowing to decelerate the beam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to very low energies. The recovery of the largest fraction of the beam energy will have the impact to achieve maximal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energy efficiency and to minimize the environmental burden of radioactive materials generated in the beam dump.</w:t>
      </w:r>
    </w:p>
    <w:p w14:paraId="160B12BA" w14:textId="77777777" w:rsidR="009A5D2F" w:rsidRPr="0001085F" w:rsidRDefault="0001085F" w:rsidP="0001085F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The energy of the particles in the decelerated beam will be below neutron activation thresholds, strongly reducing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the radiotoxicity of the materials in the beam dump. The delivered simulation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lastRenderedPageBreak/>
        <w:t>codes related to the beam dynamics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with ERL-based accelerators using the newly designed sustainable LINAC cryomodule will benefit the accelerator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0108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community in tackling similar problems.</w:t>
      </w:r>
    </w:p>
    <w:p w14:paraId="41DA1E65" w14:textId="77777777" w:rsidR="009A5D2F" w:rsidRDefault="009A5D2F" w:rsidP="009A5D2F">
      <w:pPr>
        <w:autoSpaceDE w:val="0"/>
        <w:autoSpaceDN w:val="0"/>
        <w:adjustRightInd w:val="0"/>
        <w:jc w:val="both"/>
        <w:rPr>
          <w:rFonts w:ascii="Optima" w:hAnsi="Optima" w:cs="Times New Roman"/>
          <w:kern w:val="0"/>
          <w:sz w:val="22"/>
          <w:szCs w:val="22"/>
          <w:lang w:val="en-GB"/>
        </w:rPr>
      </w:pPr>
    </w:p>
    <w:p w14:paraId="67CCE4B4" w14:textId="77777777" w:rsidR="0001085F" w:rsidRDefault="0001085F" w:rsidP="0001085F">
      <w:pPr>
        <w:pStyle w:val="Heading1"/>
        <w:rPr>
          <w:lang w:val="en-GB"/>
        </w:rPr>
      </w:pPr>
      <w:r w:rsidRPr="00955D4F">
        <w:rPr>
          <w:highlight w:val="yellow"/>
          <w:lang w:val="en-GB"/>
        </w:rPr>
        <w:t>Achievements</w:t>
      </w:r>
    </w:p>
    <w:p w14:paraId="3A6EA954" w14:textId="77777777" w:rsidR="0001085F" w:rsidRPr="00416B5F" w:rsidRDefault="0001085F" w:rsidP="000108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4262D07C" w14:textId="77777777" w:rsidR="0001085F" w:rsidRPr="00416B5F" w:rsidRDefault="0001085F" w:rsidP="000108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 xml:space="preserve">The main achievements of WP5 are linked with the </w:t>
      </w:r>
      <w:proofErr w:type="spellStart"/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>iSAS</w:t>
      </w:r>
      <w:proofErr w:type="spellEnd"/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 xml:space="preserve"> project deliverables are milestones</w:t>
      </w:r>
      <w:r w:rsidR="00955D4F">
        <w:rPr>
          <w:rFonts w:ascii="Optima" w:hAnsi="Optima" w:cstheme="minorHAnsi"/>
          <w:kern w:val="0"/>
          <w:sz w:val="22"/>
          <w:szCs w:val="22"/>
          <w:lang w:val="en-GB"/>
        </w:rPr>
        <w:t>:</w:t>
      </w:r>
    </w:p>
    <w:p w14:paraId="63E4FE22" w14:textId="77777777" w:rsidR="0001085F" w:rsidRPr="00416B5F" w:rsidRDefault="0001085F" w:rsidP="000108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62F65D6E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theme="minorHAnsi"/>
          <w:b/>
          <w:bCs/>
          <w:kern w:val="0"/>
          <w:sz w:val="22"/>
          <w:szCs w:val="22"/>
          <w:lang w:val="en-GB"/>
        </w:rPr>
      </w:pPr>
      <w:r w:rsidRPr="00416B5F">
        <w:rPr>
          <w:rFonts w:ascii="Optima" w:hAnsi="Optima" w:cstheme="minorHAnsi"/>
          <w:b/>
          <w:bCs/>
          <w:kern w:val="0"/>
          <w:sz w:val="22"/>
          <w:szCs w:val="22"/>
          <w:u w:val="single"/>
          <w:lang w:val="en-GB"/>
        </w:rPr>
        <w:t>E</w:t>
      </w:r>
      <w:r w:rsidR="0001085F" w:rsidRPr="00416B5F">
        <w:rPr>
          <w:rFonts w:ascii="Optima" w:hAnsi="Optima" w:cstheme="minorHAnsi"/>
          <w:b/>
          <w:bCs/>
          <w:kern w:val="0"/>
          <w:sz w:val="22"/>
          <w:szCs w:val="22"/>
          <w:u w:val="single"/>
          <w:lang w:val="en-GB"/>
        </w:rPr>
        <w:t>SS cryomodules experience and benchmarking with other recent facilities</w:t>
      </w:r>
      <w:r w:rsidR="0001085F" w:rsidRPr="00416B5F">
        <w:rPr>
          <w:rFonts w:ascii="Optima" w:hAnsi="Optima" w:cstheme="minorHAnsi"/>
          <w:b/>
          <w:bCs/>
          <w:kern w:val="0"/>
          <w:sz w:val="22"/>
          <w:szCs w:val="22"/>
          <w:lang w:val="en-GB"/>
        </w:rPr>
        <w:t xml:space="preserve"> </w:t>
      </w:r>
    </w:p>
    <w:p w14:paraId="206B2133" w14:textId="77777777" w:rsidR="00416B5F" w:rsidRPr="00416B5F" w:rsidRDefault="0001085F" w:rsidP="000108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>Compil</w:t>
      </w:r>
      <w:r w:rsidR="00416B5F" w:rsidRPr="00416B5F">
        <w:rPr>
          <w:rFonts w:ascii="Optima" w:hAnsi="Optima" w:cstheme="minorHAnsi"/>
          <w:kern w:val="0"/>
          <w:sz w:val="22"/>
          <w:szCs w:val="22"/>
          <w:lang w:val="en-GB"/>
        </w:rPr>
        <w:t xml:space="preserve">ation of </w:t>
      </w:r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>the lesson learned from the ESS CM testing activities, technical commissioning, and initial</w:t>
      </w:r>
      <w:r w:rsidR="00416B5F" w:rsidRPr="00416B5F">
        <w:rPr>
          <w:rFonts w:ascii="Optima" w:hAnsi="Optima" w:cstheme="minorHAnsi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>operation.</w:t>
      </w:r>
    </w:p>
    <w:p w14:paraId="48E56C01" w14:textId="77777777" w:rsidR="00416B5F" w:rsidRPr="00416B5F" w:rsidRDefault="0001085F" w:rsidP="000108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  <w:r w:rsidRPr="00416B5F">
        <w:rPr>
          <w:rFonts w:ascii="Optima" w:hAnsi="Optima" w:cstheme="minorHAnsi"/>
          <w:kern w:val="0"/>
          <w:sz w:val="22"/>
          <w:szCs w:val="22"/>
          <w:lang w:val="en-GB"/>
        </w:rPr>
        <w:t xml:space="preserve">Benchmarking with projects in the implementation phase (worldwide). </w:t>
      </w:r>
    </w:p>
    <w:p w14:paraId="246D5156" w14:textId="77777777" w:rsidR="00416B5F" w:rsidRPr="00416B5F" w:rsidRDefault="00416B5F" w:rsidP="000108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Develop a roadmap to develop a new, sustainable CM design</w:t>
      </w:r>
    </w:p>
    <w:p w14:paraId="10D60419" w14:textId="77777777" w:rsidR="00416B5F" w:rsidRDefault="00416B5F" w:rsidP="00416B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7D67DADE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WP5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organises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 technical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review of the ESS CM design, tests and commissioning experiences. Operational results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are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described,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analysed and correlated with the project design choices.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br/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As part of this activity a benchmarking with other CM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designs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is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performed. 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And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set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s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the roadmap for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integrating the initial progress with the technology developments obtained in WP1 to 4 into a new, optimized</w:t>
      </w:r>
      <w:r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color w:val="000000"/>
          <w:kern w:val="0"/>
          <w:sz w:val="22"/>
          <w:szCs w:val="22"/>
          <w:lang w:val="en-GB"/>
        </w:rPr>
        <w:t>energy-efficient CM design.</w:t>
      </w:r>
    </w:p>
    <w:p w14:paraId="144461CD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1E689F36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="Times New Roman"/>
          <w:b/>
          <w:bCs/>
          <w:kern w:val="0"/>
          <w:sz w:val="22"/>
          <w:szCs w:val="22"/>
          <w:u w:val="single"/>
          <w:lang w:val="en-GB"/>
        </w:rPr>
      </w:pPr>
      <w:r w:rsidRPr="00416B5F">
        <w:rPr>
          <w:rFonts w:ascii="Optima" w:hAnsi="Optima" w:cs="Times New Roman"/>
          <w:b/>
          <w:bCs/>
          <w:kern w:val="0"/>
          <w:sz w:val="22"/>
          <w:szCs w:val="22"/>
          <w:u w:val="single"/>
          <w:lang w:val="en-GB"/>
        </w:rPr>
        <w:t>Sustainability criteria for LINAC cryomodule design</w:t>
      </w:r>
    </w:p>
    <w:p w14:paraId="2EB094C3" w14:textId="77777777" w:rsidR="00416B5F" w:rsidRPr="00416B5F" w:rsidRDefault="00416B5F" w:rsidP="00416B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Integrate findings from the other </w:t>
      </w:r>
      <w:proofErr w:type="spellStart"/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WPs into a generic CM design.</w:t>
      </w:r>
    </w:p>
    <w:p w14:paraId="4747D4E1" w14:textId="77777777" w:rsidR="00416B5F" w:rsidRPr="00416B5F" w:rsidRDefault="00416B5F" w:rsidP="00416B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0"/>
          <w:szCs w:val="20"/>
          <w:lang w:val="en-GB"/>
        </w:rPr>
        <w:t xml:space="preserve"> 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Explore the sustainability criteria for the design.</w:t>
      </w:r>
    </w:p>
    <w:p w14:paraId="29BEA5FD" w14:textId="77777777" w:rsidR="00416B5F" w:rsidRDefault="00416B5F" w:rsidP="00416B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11F2A41E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Based on the developed technical roadmap and under the guidance of a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pan-European forum of experts, the developments of the parametric design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are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conducted. Direct or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indirect, the relevant European institutes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are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engaged and a continue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d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dialogue with WP1-4 experts </w:t>
      </w:r>
    </w:p>
    <w:p w14:paraId="248ED822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enhance the transversal integration activity. In addition to the technical, energy-efficiency and performance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criteria in the roadmap, also cost-efficiency criteria </w:t>
      </w:r>
      <w:proofErr w:type="gramStart"/>
      <w:r>
        <w:rPr>
          <w:rFonts w:ascii="Optima" w:hAnsi="Optima" w:cs="Times New Roman"/>
          <w:kern w:val="0"/>
          <w:sz w:val="22"/>
          <w:szCs w:val="22"/>
          <w:lang w:val="en-GB"/>
        </w:rPr>
        <w:t>is</w:t>
      </w:r>
      <w:proofErr w:type="gramEnd"/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considered. The integration of heat exchangers,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thermal shields, cryogenic line, vacuum and monitoring instruments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is</w:t>
      </w: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 xml:space="preserve"> be addressed.</w:t>
      </w:r>
    </w:p>
    <w:p w14:paraId="170663E6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theme="minorHAnsi"/>
          <w:kern w:val="0"/>
          <w:sz w:val="22"/>
          <w:szCs w:val="22"/>
          <w:lang w:val="en-GB"/>
        </w:rPr>
      </w:pPr>
    </w:p>
    <w:p w14:paraId="6B333655" w14:textId="77777777" w:rsidR="00416B5F" w:rsidRPr="00416B5F" w:rsidRDefault="00416B5F" w:rsidP="00416B5F">
      <w:pPr>
        <w:autoSpaceDE w:val="0"/>
        <w:autoSpaceDN w:val="0"/>
        <w:adjustRightInd w:val="0"/>
        <w:rPr>
          <w:rFonts w:ascii="Optima" w:hAnsi="Optima" w:cs="Times New Roman"/>
          <w:b/>
          <w:bCs/>
          <w:kern w:val="0"/>
          <w:sz w:val="22"/>
          <w:szCs w:val="22"/>
          <w:u w:val="single"/>
          <w:lang w:val="en-GB"/>
        </w:rPr>
      </w:pPr>
      <w:r w:rsidRPr="00416B5F">
        <w:rPr>
          <w:rFonts w:ascii="Optima" w:hAnsi="Optima" w:cs="Times New Roman"/>
          <w:b/>
          <w:bCs/>
          <w:kern w:val="0"/>
          <w:sz w:val="22"/>
          <w:szCs w:val="22"/>
          <w:u w:val="single"/>
          <w:lang w:val="en-GB"/>
        </w:rPr>
        <w:t>Beam Dynamics for ERL-based accelerators with energy-efficient cryomodules</w:t>
      </w:r>
    </w:p>
    <w:p w14:paraId="26B85B88" w14:textId="77777777" w:rsidR="00416B5F" w:rsidRDefault="00416B5F" w:rsidP="00416B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Simulate the beam dynamics of ERL-based accelerators when the energy efficient CM is included.</w:t>
      </w:r>
    </w:p>
    <w:p w14:paraId="099C459A" w14:textId="77777777" w:rsidR="00416B5F" w:rsidRDefault="00416B5F" w:rsidP="00416B5F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416B5F">
        <w:rPr>
          <w:rFonts w:ascii="Optima" w:hAnsi="Optima" w:cs="Times New Roman"/>
          <w:kern w:val="0"/>
          <w:sz w:val="22"/>
          <w:szCs w:val="22"/>
          <w:lang w:val="en-GB"/>
        </w:rPr>
        <w:t>Study the lattice design to optimize the beam and energy saving performances</w:t>
      </w:r>
    </w:p>
    <w:p w14:paraId="4B26EC94" w14:textId="77777777" w:rsidR="00877776" w:rsidRPr="00877776" w:rsidRDefault="00877776" w:rsidP="00877776">
      <w:p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</w:p>
    <w:p w14:paraId="2F4EB61E" w14:textId="77777777" w:rsidR="0001085F" w:rsidRPr="00955D4F" w:rsidRDefault="00877776" w:rsidP="00955D4F">
      <w:pPr>
        <w:autoSpaceDE w:val="0"/>
        <w:autoSpaceDN w:val="0"/>
        <w:adjustRightInd w:val="0"/>
        <w:rPr>
          <w:rFonts w:ascii="Optima" w:hAnsi="Optima" w:cs="Times New Roman"/>
          <w:kern w:val="0"/>
          <w:sz w:val="22"/>
          <w:szCs w:val="22"/>
          <w:lang w:val="en-GB"/>
        </w:rPr>
      </w:pP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The beam dynamics study include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s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collaborations with leading research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groups across Europe. ERL-specific beam dynamics effects using dedicated simulations study the impact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of the new sustainable SRF system on the beam quality, the attainable intensity and the efficiency of energy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recovery in a quantitative way. The study identif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ies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the most relevant beam dynamics effects in ERL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mode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i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ncluding the new </w:t>
      </w:r>
      <w:proofErr w:type="spellStart"/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iSAS</w:t>
      </w:r>
      <w:proofErr w:type="spellEnd"/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technologies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and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realistic lattice parameter sets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are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developed for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specific research applications of ERL-based accelerators that will allow to specify the tolerances and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acceptable HOM amplitudes. These results help in the development of efficiency-optimized ERL-based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accelerators. The results also set limits on the required HOM damping for the cryomodule that 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>are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 xml:space="preserve"> designed</w:t>
      </w:r>
      <w:r>
        <w:rPr>
          <w:rFonts w:ascii="Optima" w:hAnsi="Optima" w:cs="Times New Roman"/>
          <w:kern w:val="0"/>
          <w:sz w:val="22"/>
          <w:szCs w:val="22"/>
          <w:lang w:val="en-GB"/>
        </w:rPr>
        <w:t xml:space="preserve"> </w:t>
      </w:r>
      <w:r w:rsidRPr="00877776">
        <w:rPr>
          <w:rFonts w:ascii="Optima" w:hAnsi="Optima" w:cs="Times New Roman"/>
          <w:kern w:val="0"/>
          <w:sz w:val="22"/>
          <w:szCs w:val="22"/>
          <w:lang w:val="en-GB"/>
        </w:rPr>
        <w:t>in this work package and feed back into the HOM design criteria in WP4.</w:t>
      </w:r>
    </w:p>
    <w:sectPr w:rsidR="0001085F" w:rsidRPr="00955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1881"/>
    <w:multiLevelType w:val="hybridMultilevel"/>
    <w:tmpl w:val="8674A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71194"/>
    <w:multiLevelType w:val="hybridMultilevel"/>
    <w:tmpl w:val="25A8F538"/>
    <w:lvl w:ilvl="0" w:tplc="1A209D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12E58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A4D0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D0B6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06B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B26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8891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FE30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A09F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D7B4613"/>
    <w:multiLevelType w:val="hybridMultilevel"/>
    <w:tmpl w:val="140A0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229696">
    <w:abstractNumId w:val="0"/>
  </w:num>
  <w:num w:numId="2" w16cid:durableId="1649019971">
    <w:abstractNumId w:val="1"/>
  </w:num>
  <w:num w:numId="3" w16cid:durableId="103161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3D"/>
    <w:rsid w:val="0001085F"/>
    <w:rsid w:val="00255F3D"/>
    <w:rsid w:val="002C50EA"/>
    <w:rsid w:val="00416B5F"/>
    <w:rsid w:val="004E6262"/>
    <w:rsid w:val="00531909"/>
    <w:rsid w:val="005C6077"/>
    <w:rsid w:val="00877776"/>
    <w:rsid w:val="00955D4F"/>
    <w:rsid w:val="009A1901"/>
    <w:rsid w:val="009A5D2F"/>
    <w:rsid w:val="00A061E3"/>
    <w:rsid w:val="00CF3F08"/>
    <w:rsid w:val="00F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C134"/>
  <w15:chartTrackingRefBased/>
  <w15:docId w15:val="{F0554DDB-C0B6-DE41-BAC8-5B71884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76"/>
  </w:style>
  <w:style w:type="paragraph" w:styleId="Heading1">
    <w:name w:val="heading 1"/>
    <w:basedOn w:val="Normal"/>
    <w:next w:val="Normal"/>
    <w:link w:val="Heading1Char"/>
    <w:uiPriority w:val="9"/>
    <w:qFormat/>
    <w:rsid w:val="00F74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4F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4F3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061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Elias</dc:creator>
  <cp:keywords/>
  <dc:description/>
  <cp:lastModifiedBy>Nuno Elias</cp:lastModifiedBy>
  <cp:revision>5</cp:revision>
  <dcterms:created xsi:type="dcterms:W3CDTF">2025-01-24T08:31:00Z</dcterms:created>
  <dcterms:modified xsi:type="dcterms:W3CDTF">2025-02-05T16:03:00Z</dcterms:modified>
</cp:coreProperties>
</file>