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FA" w:rsidRDefault="00B1050C" w:rsidP="00870040">
      <w:pPr>
        <w:jc w:val="center"/>
        <w:rPr>
          <w:sz w:val="32"/>
          <w:szCs w:val="32"/>
        </w:rPr>
      </w:pPr>
      <w:r w:rsidRPr="00870040">
        <w:rPr>
          <w:sz w:val="32"/>
          <w:szCs w:val="32"/>
        </w:rPr>
        <w:t xml:space="preserve">P2IO </w:t>
      </w:r>
      <w:r w:rsidR="00870040">
        <w:rPr>
          <w:sz w:val="32"/>
          <w:szCs w:val="32"/>
        </w:rPr>
        <w:t xml:space="preserve">short </w:t>
      </w:r>
      <w:proofErr w:type="spellStart"/>
      <w:r w:rsidRPr="00870040">
        <w:rPr>
          <w:sz w:val="32"/>
          <w:szCs w:val="32"/>
        </w:rPr>
        <w:t>presentation</w:t>
      </w:r>
      <w:proofErr w:type="spellEnd"/>
    </w:p>
    <w:p w:rsidR="00870040" w:rsidRPr="00870040" w:rsidRDefault="00870040" w:rsidP="00870040">
      <w:pPr>
        <w:jc w:val="center"/>
        <w:rPr>
          <w:i/>
          <w:sz w:val="24"/>
          <w:szCs w:val="24"/>
          <w:lang w:val="en-US"/>
        </w:rPr>
      </w:pPr>
      <w:r w:rsidRPr="00870040">
        <w:rPr>
          <w:i/>
          <w:sz w:val="24"/>
          <w:szCs w:val="24"/>
          <w:lang w:val="en-US"/>
        </w:rPr>
        <w:t>Guy Wormser, P2IO coordinator</w:t>
      </w:r>
    </w:p>
    <w:p w:rsidR="00B1050C" w:rsidRPr="00870040" w:rsidRDefault="00B1050C">
      <w:pPr>
        <w:rPr>
          <w:lang w:val="en-US"/>
        </w:rPr>
      </w:pPr>
    </w:p>
    <w:p w:rsidR="00B1050C" w:rsidRDefault="00B1050C" w:rsidP="00870040">
      <w:pPr>
        <w:jc w:val="both"/>
        <w:rPr>
          <w:lang w:val="en-US"/>
        </w:rPr>
      </w:pPr>
      <w:r>
        <w:rPr>
          <w:lang w:val="en-US"/>
        </w:rPr>
        <w:t xml:space="preserve">P2IO is one of the </w:t>
      </w:r>
      <w:proofErr w:type="gramStart"/>
      <w:r>
        <w:rPr>
          <w:lang w:val="en-US"/>
        </w:rPr>
        <w:t>100  l</w:t>
      </w:r>
      <w:r w:rsidRPr="00B1050C">
        <w:rPr>
          <w:lang w:val="en-US"/>
        </w:rPr>
        <w:t>o</w:t>
      </w:r>
      <w:r>
        <w:rPr>
          <w:lang w:val="en-US"/>
        </w:rPr>
        <w:t>c</w:t>
      </w:r>
      <w:r w:rsidRPr="00B1050C">
        <w:rPr>
          <w:lang w:val="en-US"/>
        </w:rPr>
        <w:t>al</w:t>
      </w:r>
      <w:proofErr w:type="gramEnd"/>
      <w:r w:rsidRPr="00B1050C">
        <w:rPr>
          <w:lang w:val="en-US"/>
        </w:rPr>
        <w:t xml:space="preserve"> </w:t>
      </w:r>
      <w:proofErr w:type="spellStart"/>
      <w:r w:rsidRPr="00B1050C">
        <w:rPr>
          <w:lang w:val="en-US"/>
        </w:rPr>
        <w:t>excellency</w:t>
      </w:r>
      <w:proofErr w:type="spellEnd"/>
      <w:r w:rsidRPr="00B1050C">
        <w:rPr>
          <w:lang w:val="en-US"/>
        </w:rPr>
        <w:t xml:space="preserve"> cluster</w:t>
      </w:r>
      <w:r>
        <w:rPr>
          <w:lang w:val="en-US"/>
        </w:rPr>
        <w:t>s</w:t>
      </w:r>
      <w:r w:rsidRPr="00B1050C">
        <w:rPr>
          <w:lang w:val="en-US"/>
        </w:rPr>
        <w:t xml:space="preserve"> (« </w:t>
      </w:r>
      <w:proofErr w:type="spellStart"/>
      <w:r w:rsidRPr="00B1050C">
        <w:rPr>
          <w:lang w:val="en-US"/>
        </w:rPr>
        <w:t>Laboratoire</w:t>
      </w:r>
      <w:r w:rsidR="00870040">
        <w:rPr>
          <w:lang w:val="en-US"/>
        </w:rPr>
        <w:t>s</w:t>
      </w:r>
      <w:proofErr w:type="spellEnd"/>
      <w:r w:rsidRPr="00B1050C">
        <w:rPr>
          <w:lang w:val="en-US"/>
        </w:rPr>
        <w:t xml:space="preserve"> </w:t>
      </w:r>
      <w:proofErr w:type="spellStart"/>
      <w:r w:rsidRPr="00B1050C">
        <w:rPr>
          <w:lang w:val="en-US"/>
        </w:rPr>
        <w:t>d’Excellence</w:t>
      </w:r>
      <w:proofErr w:type="spellEnd"/>
      <w:r w:rsidRPr="00B1050C">
        <w:rPr>
          <w:lang w:val="en-US"/>
        </w:rPr>
        <w:t> »</w:t>
      </w:r>
      <w:r>
        <w:rPr>
          <w:lang w:val="en-US"/>
        </w:rPr>
        <w:t xml:space="preserve"> or LABEX </w:t>
      </w:r>
      <w:r w:rsidRPr="00B1050C">
        <w:rPr>
          <w:lang w:val="en-US"/>
        </w:rPr>
        <w:t>)  created  in March 2011</w:t>
      </w:r>
      <w:r>
        <w:rPr>
          <w:lang w:val="en-US"/>
        </w:rPr>
        <w:t xml:space="preserve">, in the framework of the “Grand </w:t>
      </w:r>
      <w:proofErr w:type="spellStart"/>
      <w:r>
        <w:rPr>
          <w:lang w:val="en-US"/>
        </w:rPr>
        <w:t>Emprunt</w:t>
      </w:r>
      <w:proofErr w:type="spellEnd"/>
      <w:r>
        <w:rPr>
          <w:lang w:val="en-US"/>
        </w:rPr>
        <w:t xml:space="preserve">” </w:t>
      </w:r>
      <w:r w:rsidRPr="00B1050C">
        <w:rPr>
          <w:lang w:val="en-US"/>
        </w:rPr>
        <w:t xml:space="preserve"> </w:t>
      </w:r>
      <w:r>
        <w:rPr>
          <w:lang w:val="en-US"/>
        </w:rPr>
        <w:t xml:space="preserve">at the initiative of French government to boost local partnerships to promote research and innovation. Details of the </w:t>
      </w:r>
      <w:proofErr w:type="spellStart"/>
      <w:r>
        <w:rPr>
          <w:lang w:val="en-US"/>
        </w:rPr>
        <w:t>Labex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init</w:t>
      </w:r>
      <w:r w:rsidR="00772B86">
        <w:rPr>
          <w:lang w:val="en-US"/>
        </w:rPr>
        <w:t>iative  can</w:t>
      </w:r>
      <w:proofErr w:type="gramEnd"/>
      <w:r w:rsidR="00772B86">
        <w:rPr>
          <w:lang w:val="en-US"/>
        </w:rPr>
        <w:t xml:space="preserve"> be found here (in French )</w:t>
      </w:r>
    </w:p>
    <w:p w:rsidR="00772B86" w:rsidRDefault="00772B86" w:rsidP="00870040">
      <w:pPr>
        <w:jc w:val="both"/>
      </w:pPr>
      <w:hyperlink r:id="rId5" w:history="1">
        <w:r w:rsidRPr="00772B86">
          <w:rPr>
            <w:rStyle w:val="Lienhypertexte"/>
            <w:lang w:val="en-US"/>
          </w:rPr>
          <w:t>http://investissement-avenir.gouvernement.fr/content/action-projets/les-programmes/centres-dexcellence</w:t>
        </w:r>
      </w:hyperlink>
    </w:p>
    <w:p w:rsidR="00772B86" w:rsidRDefault="00772B86" w:rsidP="00870040">
      <w:pPr>
        <w:jc w:val="both"/>
        <w:rPr>
          <w:lang w:val="en-US"/>
        </w:rPr>
      </w:pPr>
      <w:r w:rsidRPr="00772B86">
        <w:rPr>
          <w:lang w:val="en-US"/>
        </w:rPr>
        <w:t>The complete file P2IO submitted in</w:t>
      </w:r>
      <w:r>
        <w:rPr>
          <w:lang w:val="en-US"/>
        </w:rPr>
        <w:t xml:space="preserve"> response to this tender is avai</w:t>
      </w:r>
      <w:r w:rsidRPr="00772B86">
        <w:rPr>
          <w:lang w:val="en-US"/>
        </w:rPr>
        <w:t xml:space="preserve">lable </w:t>
      </w:r>
      <w:proofErr w:type="gramStart"/>
      <w:r w:rsidRPr="00772B86">
        <w:rPr>
          <w:lang w:val="en-US"/>
        </w:rPr>
        <w:t>here :</w:t>
      </w:r>
      <w:proofErr w:type="gramEnd"/>
    </w:p>
    <w:p w:rsidR="00772B86" w:rsidRDefault="00772B86" w:rsidP="00870040">
      <w:pPr>
        <w:jc w:val="both"/>
        <w:rPr>
          <w:lang w:val="en-US"/>
        </w:rPr>
      </w:pPr>
    </w:p>
    <w:p w:rsidR="00772B86" w:rsidRDefault="00772B86" w:rsidP="00870040">
      <w:pPr>
        <w:jc w:val="both"/>
        <w:rPr>
          <w:lang w:val="en-US"/>
        </w:rPr>
      </w:pPr>
      <w:hyperlink r:id="rId6" w:history="1">
        <w:r w:rsidRPr="00772B86">
          <w:rPr>
            <w:rStyle w:val="Lienhypertexte"/>
            <w:lang w:val="en-US"/>
          </w:rPr>
          <w:t>http://p2io.extra.cea.fr/Phocea/file.php?file=Ast/1/Labex_P2IO.pdf&amp;reload=1322474577</w:t>
        </w:r>
      </w:hyperlink>
    </w:p>
    <w:p w:rsidR="00772B86" w:rsidRPr="00772B86" w:rsidRDefault="00772B86" w:rsidP="00870040">
      <w:pPr>
        <w:jc w:val="both"/>
        <w:rPr>
          <w:lang w:val="en-US"/>
        </w:rPr>
      </w:pPr>
      <w:r>
        <w:rPr>
          <w:lang w:val="en-US"/>
        </w:rPr>
        <w:t xml:space="preserve">The P2IO brochure describing P2IO in a few pages is available here: </w:t>
      </w:r>
    </w:p>
    <w:p w:rsidR="00772B86" w:rsidRDefault="00772B86" w:rsidP="00870040">
      <w:pPr>
        <w:jc w:val="both"/>
      </w:pPr>
      <w:hyperlink r:id="rId7" w:history="1">
        <w:r w:rsidRPr="00772B86">
          <w:rPr>
            <w:rStyle w:val="Lienhypertexte"/>
            <w:lang w:val="en-US"/>
          </w:rPr>
          <w:t>http://www.labex-p2io.fr/Phocea/Vie_des_labos/News/index.php?id_news=22</w:t>
        </w:r>
      </w:hyperlink>
    </w:p>
    <w:p w:rsidR="00772B86" w:rsidRDefault="00772B86" w:rsidP="00870040">
      <w:pPr>
        <w:jc w:val="both"/>
      </w:pPr>
    </w:p>
    <w:p w:rsidR="00772B86" w:rsidRDefault="00772B86" w:rsidP="00870040">
      <w:pPr>
        <w:jc w:val="both"/>
        <w:rPr>
          <w:lang w:val="en-US"/>
        </w:rPr>
      </w:pPr>
      <w:r w:rsidRPr="00772B86">
        <w:rPr>
          <w:lang w:val="en-US"/>
        </w:rPr>
        <w:t>In this document, we present P2IO contour, its main objectives and first actions.</w:t>
      </w:r>
    </w:p>
    <w:p w:rsidR="00772B86" w:rsidRDefault="00772B86" w:rsidP="00870040">
      <w:pPr>
        <w:jc w:val="both"/>
        <w:rPr>
          <w:lang w:val="en-US"/>
        </w:rPr>
      </w:pPr>
    </w:p>
    <w:p w:rsidR="00772B86" w:rsidRDefault="00772B86" w:rsidP="0087004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P2IO contour</w:t>
      </w:r>
    </w:p>
    <w:p w:rsidR="00772B86" w:rsidRDefault="00772B86" w:rsidP="00870040">
      <w:pPr>
        <w:pStyle w:val="Paragraphedeliste"/>
        <w:jc w:val="both"/>
        <w:rPr>
          <w:lang w:val="en-US"/>
        </w:rPr>
      </w:pPr>
      <w:r>
        <w:rPr>
          <w:lang w:val="en-US"/>
        </w:rPr>
        <w:t xml:space="preserve">P2IO is in essence a network of 9  laboratories and 3  teams </w:t>
      </w:r>
      <w:r w:rsidR="00AB595C">
        <w:rPr>
          <w:lang w:val="en-US"/>
        </w:rPr>
        <w:t xml:space="preserve">all located in </w:t>
      </w:r>
      <w:proofErr w:type="spellStart"/>
      <w:r w:rsidR="00AB595C">
        <w:rPr>
          <w:lang w:val="en-US"/>
        </w:rPr>
        <w:t>Orsay-Saclay-Palaiseau</w:t>
      </w:r>
      <w:proofErr w:type="spellEnd"/>
      <w:r w:rsidR="00AB595C">
        <w:rPr>
          <w:lang w:val="en-US"/>
        </w:rPr>
        <w:t xml:space="preserve"> region,  focused on the search of the basic laws of nature regarding the infinitely small, the infinitely large and the conditions for life emergence.  This corresponds to a workforce of around 2000 persons, representing between ~30% to 90% of the French </w:t>
      </w:r>
      <w:proofErr w:type="gramStart"/>
      <w:r w:rsidR="00AB595C">
        <w:rPr>
          <w:lang w:val="en-US"/>
        </w:rPr>
        <w:t>research  effort</w:t>
      </w:r>
      <w:proofErr w:type="gramEnd"/>
      <w:r w:rsidR="00AB595C">
        <w:rPr>
          <w:lang w:val="en-US"/>
        </w:rPr>
        <w:t xml:space="preserve"> in these fields, depending on the specific domains.  </w:t>
      </w:r>
    </w:p>
    <w:p w:rsidR="001949FF" w:rsidRDefault="001949FF" w:rsidP="00870040">
      <w:pPr>
        <w:pStyle w:val="Paragraphedeliste"/>
        <w:jc w:val="both"/>
        <w:rPr>
          <w:lang w:val="en-US"/>
        </w:rPr>
      </w:pPr>
      <w:r>
        <w:rPr>
          <w:lang w:val="en-US"/>
        </w:rPr>
        <w:t xml:space="preserve">P2IO has decided to </w:t>
      </w:r>
      <w:proofErr w:type="gramStart"/>
      <w:r>
        <w:rPr>
          <w:lang w:val="en-US"/>
        </w:rPr>
        <w:t>select  from</w:t>
      </w:r>
      <w:proofErr w:type="gramEnd"/>
      <w:r>
        <w:rPr>
          <w:lang w:val="en-US"/>
        </w:rPr>
        <w:t xml:space="preserve"> its even larger scientific and technologic portfolio  the following priorities:</w:t>
      </w:r>
    </w:p>
    <w:p w:rsidR="00000000" w:rsidRPr="001949FF" w:rsidRDefault="001949FF" w:rsidP="00870040">
      <w:pPr>
        <w:pStyle w:val="Paragraphedeliste"/>
        <w:numPr>
          <w:ilvl w:val="1"/>
          <w:numId w:val="2"/>
        </w:numPr>
        <w:jc w:val="both"/>
        <w:rPr>
          <w:lang w:val="en-US"/>
        </w:rPr>
      </w:pPr>
      <w:r w:rsidRPr="001949FF">
        <w:rPr>
          <w:lang w:val="en-US"/>
        </w:rPr>
        <w:t xml:space="preserve">4 scientific priorities (P1 to P4) </w:t>
      </w:r>
    </w:p>
    <w:p w:rsidR="00000000" w:rsidRPr="001949FF" w:rsidRDefault="00870040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 w:rsidRPr="001949FF">
        <w:rPr>
          <w:lang w:val="en-US"/>
        </w:rPr>
        <w:t>P1 :symmetries in the subatomic world,</w:t>
      </w:r>
    </w:p>
    <w:p w:rsidR="00000000" w:rsidRPr="001949FF" w:rsidRDefault="00870040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 w:rsidRPr="001949FF">
        <w:rPr>
          <w:lang w:val="en-US"/>
        </w:rPr>
        <w:t xml:space="preserve"> P2: dark components of the Universe, </w:t>
      </w:r>
    </w:p>
    <w:p w:rsidR="00000000" w:rsidRPr="001949FF" w:rsidRDefault="00870040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 w:rsidRPr="001949FF">
        <w:rPr>
          <w:lang w:val="en-US"/>
        </w:rPr>
        <w:t xml:space="preserve">P3 : strongly coupled nuclear matter, </w:t>
      </w:r>
    </w:p>
    <w:p w:rsidR="00000000" w:rsidRPr="001949FF" w:rsidRDefault="00870040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 w:rsidRPr="001949FF">
        <w:rPr>
          <w:lang w:val="en-US"/>
        </w:rPr>
        <w:t>P4 : formation of stellar systems and conditions for the emergence of life</w:t>
      </w:r>
      <w:r w:rsidRPr="001949FF">
        <w:rPr>
          <w:lang w:val="en-US"/>
        </w:rPr>
        <w:t xml:space="preserve"> </w:t>
      </w:r>
    </w:p>
    <w:p w:rsidR="00000000" w:rsidRPr="001949FF" w:rsidRDefault="001949FF" w:rsidP="00870040">
      <w:pPr>
        <w:pStyle w:val="Paragraphedeliste"/>
        <w:numPr>
          <w:ilvl w:val="1"/>
          <w:numId w:val="2"/>
        </w:numPr>
        <w:jc w:val="both"/>
        <w:rPr>
          <w:lang w:val="en-US"/>
        </w:rPr>
      </w:pPr>
      <w:r w:rsidRPr="001949FF">
        <w:rPr>
          <w:lang w:val="en-US"/>
        </w:rPr>
        <w:t xml:space="preserve">3 technologic priorities (R1 to R3) </w:t>
      </w:r>
    </w:p>
    <w:p w:rsidR="00000000" w:rsidRPr="001949FF" w:rsidRDefault="00870040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 w:rsidRPr="001949FF">
        <w:rPr>
          <w:lang w:val="en-US"/>
        </w:rPr>
        <w:t xml:space="preserve">R1 : innovations in accelerator science and their related spinoffs, </w:t>
      </w:r>
    </w:p>
    <w:p w:rsidR="00000000" w:rsidRPr="001949FF" w:rsidRDefault="00870040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 w:rsidRPr="001949FF">
        <w:rPr>
          <w:lang w:val="en-US"/>
        </w:rPr>
        <w:t xml:space="preserve">R2 : advanced sensors and spinoffs, </w:t>
      </w:r>
    </w:p>
    <w:p w:rsidR="00000000" w:rsidRPr="001949FF" w:rsidRDefault="00870040" w:rsidP="00870040">
      <w:pPr>
        <w:pStyle w:val="Paragraphedeliste"/>
        <w:numPr>
          <w:ilvl w:val="2"/>
          <w:numId w:val="2"/>
        </w:numPr>
        <w:jc w:val="both"/>
      </w:pPr>
      <w:r w:rsidRPr="001949FF">
        <w:rPr>
          <w:lang w:val="en-US"/>
        </w:rPr>
        <w:t>R3 : data mining and simulation</w:t>
      </w:r>
      <w:r w:rsidRPr="001949FF">
        <w:t xml:space="preserve"> </w:t>
      </w:r>
    </w:p>
    <w:p w:rsidR="00000000" w:rsidRPr="001949FF" w:rsidRDefault="001949FF" w:rsidP="00870040">
      <w:pPr>
        <w:pStyle w:val="Paragraphedeliste"/>
        <w:numPr>
          <w:ilvl w:val="1"/>
          <w:numId w:val="2"/>
        </w:numPr>
        <w:jc w:val="both"/>
      </w:pPr>
      <w:r>
        <w:t xml:space="preserve">2 transversal </w:t>
      </w:r>
      <w:proofErr w:type="spellStart"/>
      <w:r>
        <w:t>priorities</w:t>
      </w:r>
      <w:proofErr w:type="spellEnd"/>
    </w:p>
    <w:p w:rsidR="00000000" w:rsidRPr="001949FF" w:rsidRDefault="001949FF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Energy</w:t>
      </w:r>
      <w:r w:rsidR="00870040" w:rsidRPr="001949FF">
        <w:rPr>
          <w:lang w:val="en-US"/>
        </w:rPr>
        <w:t xml:space="preserve"> : nuclear energy for the future;</w:t>
      </w:r>
    </w:p>
    <w:p w:rsidR="00000000" w:rsidRPr="001949FF" w:rsidRDefault="001949FF" w:rsidP="00870040">
      <w:pPr>
        <w:pStyle w:val="Paragraphedeliste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 Health</w:t>
      </w:r>
      <w:r w:rsidR="00870040" w:rsidRPr="001949FF">
        <w:rPr>
          <w:lang w:val="en-US"/>
        </w:rPr>
        <w:t xml:space="preserve"> : healt</w:t>
      </w:r>
      <w:r w:rsidR="00870040" w:rsidRPr="001949FF">
        <w:rPr>
          <w:lang w:val="en-US"/>
        </w:rPr>
        <w:t>h, new methods in imagery and therapies</w:t>
      </w:r>
      <w:r w:rsidR="00870040" w:rsidRPr="001949FF">
        <w:rPr>
          <w:lang w:val="en-US"/>
        </w:rPr>
        <w:t xml:space="preserve"> </w:t>
      </w:r>
    </w:p>
    <w:p w:rsidR="001949FF" w:rsidRDefault="001949FF" w:rsidP="00870040">
      <w:pPr>
        <w:pStyle w:val="Paragraphedeliste"/>
        <w:jc w:val="both"/>
        <w:rPr>
          <w:lang w:val="en-US"/>
        </w:rPr>
      </w:pPr>
    </w:p>
    <w:p w:rsidR="009A5521" w:rsidRDefault="009A5521" w:rsidP="00870040">
      <w:pPr>
        <w:pStyle w:val="Paragraphedeliste"/>
        <w:jc w:val="both"/>
        <w:rPr>
          <w:b/>
          <w:lang w:val="en-US"/>
        </w:rPr>
      </w:pPr>
      <w:r w:rsidRPr="009A5521">
        <w:rPr>
          <w:b/>
          <w:lang w:val="en-US"/>
        </w:rPr>
        <w:t xml:space="preserve">We will ask P2IO scientific Council to </w:t>
      </w:r>
      <w:proofErr w:type="gramStart"/>
      <w:r w:rsidRPr="009A5521">
        <w:rPr>
          <w:b/>
          <w:lang w:val="en-US"/>
        </w:rPr>
        <w:t>revisit  these</w:t>
      </w:r>
      <w:proofErr w:type="gramEnd"/>
      <w:r w:rsidRPr="009A5521">
        <w:rPr>
          <w:b/>
          <w:lang w:val="en-US"/>
        </w:rPr>
        <w:t xml:space="preserve"> priorities and to consider adding one. </w:t>
      </w:r>
    </w:p>
    <w:p w:rsidR="009A5521" w:rsidRPr="009A5521" w:rsidRDefault="009A5521" w:rsidP="00870040">
      <w:pPr>
        <w:pStyle w:val="Paragraphedeliste"/>
        <w:jc w:val="both"/>
        <w:rPr>
          <w:b/>
          <w:lang w:val="en-US"/>
        </w:rPr>
      </w:pPr>
    </w:p>
    <w:p w:rsidR="00AB595C" w:rsidRDefault="001949FF" w:rsidP="00870040">
      <w:pPr>
        <w:pStyle w:val="Paragraphedeliste"/>
        <w:jc w:val="both"/>
        <w:rPr>
          <w:lang w:val="en-US"/>
        </w:rPr>
      </w:pPr>
      <w:r>
        <w:rPr>
          <w:lang w:val="en-US"/>
        </w:rPr>
        <w:t xml:space="preserve">The repartition of the staff as a function of laboratories, scientific thematic and priorities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given the table below:</w:t>
      </w:r>
    </w:p>
    <w:p w:rsidR="001949FF" w:rsidRDefault="001949FF" w:rsidP="00870040">
      <w:pPr>
        <w:pStyle w:val="Paragraphedeliste"/>
        <w:jc w:val="both"/>
        <w:rPr>
          <w:lang w:val="en-US"/>
        </w:rPr>
      </w:pPr>
    </w:p>
    <w:p w:rsidR="001949FF" w:rsidRPr="00772B86" w:rsidRDefault="001949FF" w:rsidP="00870040">
      <w:pPr>
        <w:pStyle w:val="Paragraphedeliste"/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351145" cy="3124835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0C" w:rsidRDefault="00B1050C" w:rsidP="00870040">
      <w:pPr>
        <w:jc w:val="both"/>
        <w:rPr>
          <w:lang w:val="en-US"/>
        </w:rPr>
      </w:pPr>
    </w:p>
    <w:p w:rsidR="009A5521" w:rsidRDefault="009A5521" w:rsidP="0087004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P2IO main objectives</w:t>
      </w:r>
    </w:p>
    <w:p w:rsidR="009A5521" w:rsidRPr="009A5521" w:rsidRDefault="009A5521" w:rsidP="00870040">
      <w:pPr>
        <w:pStyle w:val="Paragraphedeliste"/>
        <w:jc w:val="both"/>
        <w:rPr>
          <w:lang w:val="en-US"/>
        </w:rPr>
      </w:pPr>
      <w:r w:rsidRPr="009A5521">
        <w:rPr>
          <w:lang w:val="en-US"/>
        </w:rPr>
        <w:t xml:space="preserve">P2IO research project is based on three </w:t>
      </w:r>
      <w:proofErr w:type="gramStart"/>
      <w:r w:rsidRPr="009A5521">
        <w:rPr>
          <w:lang w:val="en-US"/>
        </w:rPr>
        <w:t>pillars :</w:t>
      </w:r>
      <w:proofErr w:type="gramEnd"/>
      <w:r w:rsidRPr="009A5521">
        <w:rPr>
          <w:lang w:val="en-US"/>
        </w:rPr>
        <w:t xml:space="preserve"> Explore, Transform, Structure. </w:t>
      </w:r>
    </w:p>
    <w:p w:rsidR="00000000" w:rsidRPr="009A5521" w:rsidRDefault="00870040" w:rsidP="0087004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9A5521">
        <w:rPr>
          <w:b/>
          <w:bCs/>
          <w:lang w:val="en-US"/>
        </w:rPr>
        <w:t>Explore</w:t>
      </w:r>
      <w:r w:rsidRPr="009A5521">
        <w:rPr>
          <w:lang w:val="en-US"/>
        </w:rPr>
        <w:t xml:space="preserve"> will be performed through strong support for innovative interdisciplinary initiatives and new collaborations in the most pro</w:t>
      </w:r>
      <w:r w:rsidRPr="009A5521">
        <w:rPr>
          <w:lang w:val="en-US"/>
        </w:rPr>
        <w:t>mising topics in P2IO scientific objectives</w:t>
      </w:r>
      <w:r w:rsidRPr="009A5521">
        <w:rPr>
          <w:lang w:val="en-US"/>
        </w:rPr>
        <w:t xml:space="preserve"> </w:t>
      </w:r>
    </w:p>
    <w:p w:rsidR="00000000" w:rsidRPr="009A5521" w:rsidRDefault="00870040" w:rsidP="0087004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9A5521">
        <w:rPr>
          <w:b/>
          <w:bCs/>
          <w:lang w:val="en-US"/>
        </w:rPr>
        <w:t>Transform</w:t>
      </w:r>
      <w:r w:rsidRPr="009A5521">
        <w:rPr>
          <w:lang w:val="en-US"/>
        </w:rPr>
        <w:t xml:space="preserve"> will be performed through a new vision of the collaboration between P2IO members. Joining forces between P2IO labs to create common technological platforms will foster new world-class facilities, boos</w:t>
      </w:r>
      <w:r w:rsidRPr="009A5521">
        <w:rPr>
          <w:lang w:val="en-US"/>
        </w:rPr>
        <w:t xml:space="preserve">ting P2IO research to unprecedented levels. The P2IO </w:t>
      </w:r>
      <w:proofErr w:type="spellStart"/>
      <w:r w:rsidRPr="009A5521">
        <w:rPr>
          <w:lang w:val="en-US"/>
        </w:rPr>
        <w:t>Labex</w:t>
      </w:r>
      <w:proofErr w:type="spellEnd"/>
      <w:r w:rsidRPr="009A5521">
        <w:rPr>
          <w:lang w:val="en-US"/>
        </w:rPr>
        <w:t xml:space="preserve">, in </w:t>
      </w:r>
      <w:proofErr w:type="spellStart"/>
      <w:r w:rsidRPr="009A5521">
        <w:rPr>
          <w:lang w:val="en-US"/>
        </w:rPr>
        <w:t>prefiguration</w:t>
      </w:r>
      <w:proofErr w:type="spellEnd"/>
      <w:r w:rsidRPr="009A5521">
        <w:rPr>
          <w:lang w:val="en-US"/>
        </w:rPr>
        <w:t xml:space="preserve"> of the P2IO pole of the new Plateau de </w:t>
      </w:r>
      <w:proofErr w:type="spellStart"/>
      <w:r w:rsidRPr="009A5521">
        <w:rPr>
          <w:lang w:val="en-US"/>
        </w:rPr>
        <w:t>Saclay</w:t>
      </w:r>
      <w:proofErr w:type="spellEnd"/>
      <w:r w:rsidRPr="009A5521">
        <w:rPr>
          <w:lang w:val="en-US"/>
        </w:rPr>
        <w:t xml:space="preserve"> campus, will </w:t>
      </w:r>
      <w:proofErr w:type="spellStart"/>
      <w:r w:rsidRPr="009A5521">
        <w:rPr>
          <w:lang w:val="en-US"/>
        </w:rPr>
        <w:t>favour</w:t>
      </w:r>
      <w:proofErr w:type="spellEnd"/>
      <w:r w:rsidRPr="009A5521">
        <w:rPr>
          <w:lang w:val="en-US"/>
        </w:rPr>
        <w:t xml:space="preserve"> the emergence of one of the five largest subatomic centers in the world with one of the highest degree of excelle</w:t>
      </w:r>
      <w:r w:rsidRPr="009A5521">
        <w:rPr>
          <w:lang w:val="en-US"/>
        </w:rPr>
        <w:t xml:space="preserve">nce and recognition. </w:t>
      </w:r>
    </w:p>
    <w:p w:rsidR="00000000" w:rsidRDefault="00870040" w:rsidP="0087004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9A5521">
        <w:rPr>
          <w:b/>
          <w:bCs/>
          <w:lang w:val="en-US"/>
        </w:rPr>
        <w:t>Structure</w:t>
      </w:r>
      <w:r w:rsidRPr="009A5521">
        <w:rPr>
          <w:lang w:val="en-US"/>
        </w:rPr>
        <w:t xml:space="preserve"> will stem from the integrated governance and its role as a contact point for internal and external collaborations</w:t>
      </w:r>
      <w:r w:rsidRPr="009A5521">
        <w:rPr>
          <w:lang w:val="en-US"/>
        </w:rPr>
        <w:t xml:space="preserve">. </w:t>
      </w:r>
    </w:p>
    <w:p w:rsidR="005F7790" w:rsidRDefault="005F7790" w:rsidP="00870040">
      <w:pPr>
        <w:jc w:val="both"/>
        <w:rPr>
          <w:lang w:val="en-US"/>
        </w:rPr>
      </w:pPr>
      <w:r>
        <w:rPr>
          <w:lang w:val="en-US"/>
        </w:rPr>
        <w:t>Some important success criteria have already identified:</w:t>
      </w:r>
    </w:p>
    <w:p w:rsidR="005F7790" w:rsidRPr="005F7790" w:rsidRDefault="005F7790" w:rsidP="00870040">
      <w:pPr>
        <w:jc w:val="both"/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14867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21" w:rsidRDefault="009A5521" w:rsidP="00870040">
      <w:pPr>
        <w:pStyle w:val="Paragraphedeliste"/>
        <w:jc w:val="both"/>
        <w:rPr>
          <w:lang w:val="en-US"/>
        </w:rPr>
      </w:pPr>
    </w:p>
    <w:p w:rsidR="005F7790" w:rsidRDefault="005F7790" w:rsidP="00870040">
      <w:pPr>
        <w:pStyle w:val="Paragraphedeliste"/>
        <w:jc w:val="both"/>
        <w:rPr>
          <w:lang w:val="en-US"/>
        </w:rPr>
      </w:pPr>
      <w:r>
        <w:rPr>
          <w:lang w:val="en-US"/>
        </w:rPr>
        <w:t>The scientific Council will be asked to comment of these indicators.</w:t>
      </w:r>
    </w:p>
    <w:p w:rsidR="005F7790" w:rsidRDefault="005F7790" w:rsidP="00870040">
      <w:pPr>
        <w:pStyle w:val="Paragraphedeliste"/>
        <w:jc w:val="both"/>
        <w:rPr>
          <w:lang w:val="en-US"/>
        </w:rPr>
      </w:pPr>
    </w:p>
    <w:p w:rsidR="009A5521" w:rsidRDefault="009A5521" w:rsidP="00870040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P2IO first actions </w:t>
      </w:r>
    </w:p>
    <w:p w:rsidR="005F7790" w:rsidRDefault="005F7790" w:rsidP="00870040">
      <w:pPr>
        <w:pStyle w:val="Paragraphedeliste"/>
        <w:jc w:val="both"/>
        <w:rPr>
          <w:lang w:val="en-US"/>
        </w:rPr>
      </w:pPr>
      <w:r>
        <w:rPr>
          <w:lang w:val="en-US"/>
        </w:rPr>
        <w:t>P2IO has already launched a significant number of actions representing in total more than 2.5 M€.</w:t>
      </w:r>
    </w:p>
    <w:p w:rsidR="005F7790" w:rsidRDefault="005F7790" w:rsidP="00870040">
      <w:pPr>
        <w:pStyle w:val="Paragraphedeliste"/>
        <w:jc w:val="both"/>
        <w:rPr>
          <w:lang w:val="en-US"/>
        </w:rPr>
      </w:pPr>
      <w:r>
        <w:rPr>
          <w:lang w:val="en-US"/>
        </w:rPr>
        <w:t>3.1/ 2 calls for post-doctoral positions:</w:t>
      </w:r>
    </w:p>
    <w:p w:rsidR="00A607EE" w:rsidRDefault="005F7790" w:rsidP="00870040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in 2011 for 5 positions star</w:t>
      </w:r>
      <w:r w:rsidR="00A03375">
        <w:rPr>
          <w:lang w:val="en-US"/>
        </w:rPr>
        <w:t>t</w:t>
      </w:r>
      <w:r>
        <w:rPr>
          <w:lang w:val="en-US"/>
        </w:rPr>
        <w:t xml:space="preserve">ing in September 2011 . </w:t>
      </w:r>
      <w:r w:rsidR="00A03375">
        <w:rPr>
          <w:lang w:val="en-US"/>
        </w:rPr>
        <w:t xml:space="preserve">41 applications received. </w:t>
      </w:r>
      <w:r>
        <w:rPr>
          <w:lang w:val="en-US"/>
        </w:rPr>
        <w:t xml:space="preserve">The recipients </w:t>
      </w:r>
      <w:r w:rsidR="00A03375">
        <w:rPr>
          <w:lang w:val="en-US"/>
        </w:rPr>
        <w:t xml:space="preserve">list </w:t>
      </w:r>
      <w:r>
        <w:rPr>
          <w:lang w:val="en-US"/>
        </w:rPr>
        <w:t>is given below and a report for all the</w:t>
      </w:r>
      <w:r w:rsidR="00A03375">
        <w:rPr>
          <w:lang w:val="en-US"/>
        </w:rPr>
        <w:t xml:space="preserve">se programs </w:t>
      </w:r>
      <w:proofErr w:type="gramStart"/>
      <w:r w:rsidR="00A03375">
        <w:rPr>
          <w:lang w:val="en-US"/>
        </w:rPr>
        <w:t xml:space="preserve">is </w:t>
      </w:r>
      <w:r>
        <w:rPr>
          <w:lang w:val="en-US"/>
        </w:rPr>
        <w:t xml:space="preserve"> available</w:t>
      </w:r>
      <w:proofErr w:type="gramEnd"/>
      <w:r>
        <w:rPr>
          <w:lang w:val="en-US"/>
        </w:rPr>
        <w:t xml:space="preserve"> on the </w:t>
      </w:r>
      <w:proofErr w:type="spellStart"/>
      <w:r>
        <w:rPr>
          <w:lang w:val="en-US"/>
        </w:rPr>
        <w:t>Indico</w:t>
      </w:r>
      <w:proofErr w:type="spellEnd"/>
      <w:r>
        <w:rPr>
          <w:lang w:val="en-US"/>
        </w:rPr>
        <w:t xml:space="preserve"> site.</w:t>
      </w:r>
    </w:p>
    <w:p w:rsidR="00A03375" w:rsidRPr="00A607EE" w:rsidRDefault="00A03375" w:rsidP="00870040">
      <w:pPr>
        <w:pStyle w:val="Paragraphedeliste"/>
        <w:ind w:left="708"/>
        <w:jc w:val="both"/>
        <w:rPr>
          <w:lang w:val="en-US"/>
        </w:rPr>
      </w:pPr>
      <w:hyperlink r:id="rId10" w:history="1">
        <w:r w:rsidRPr="00A607EE">
          <w:rPr>
            <w:rStyle w:val="Lienhypertexte"/>
            <w:lang w:val="en-US"/>
          </w:rPr>
          <w:t>http://indico2.lal.in2p3.fr/indico/materialDisplay.py?materialId=2&amp;confId=1812</w:t>
        </w:r>
      </w:hyperlink>
    </w:p>
    <w:p w:rsidR="00A607EE" w:rsidRPr="00112575" w:rsidRDefault="00A607EE" w:rsidP="0087004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lang w:val="en-US" w:eastAsia="fr-FR"/>
        </w:rPr>
        <w:t> </w:t>
      </w: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F.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Deliot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(IRFU) Recherche du quark top (P1)</w:t>
      </w:r>
    </w:p>
    <w:p w:rsidR="00A607EE" w:rsidRPr="00112575" w:rsidRDefault="00A607EE" w:rsidP="0087004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– M. Arnaud (IRFU) Exploitation des clusters cosmologiques de Planck(P2)</w:t>
      </w:r>
    </w:p>
    <w:p w:rsidR="00A607EE" w:rsidRPr="00112575" w:rsidRDefault="00A607EE" w:rsidP="0087004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– G.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Grosdider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(LAL) Calcul QCD sur réseau (P1</w:t>
      </w:r>
      <w:proofErr w:type="gram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,R3</w:t>
      </w:r>
      <w:proofErr w:type="gram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)</w:t>
      </w:r>
    </w:p>
    <w:p w:rsidR="00A607EE" w:rsidRPr="00112575" w:rsidRDefault="00A607EE" w:rsidP="0087004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– C.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Munoz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(IPN)  DVCS et extraction des GPD (P3)</w:t>
      </w:r>
    </w:p>
    <w:p w:rsidR="00A607EE" w:rsidRPr="00112575" w:rsidRDefault="00A607EE" w:rsidP="0087004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– F. Poulet (IAS)   Evolution climatique de mars et recherche des conditions d’habitabilité (P4)</w:t>
      </w:r>
    </w:p>
    <w:p w:rsidR="00A607EE" w:rsidRPr="00112575" w:rsidRDefault="00A607EE" w:rsidP="00870040">
      <w:pPr>
        <w:pStyle w:val="Paragraphedeliste"/>
        <w:spacing w:after="0" w:line="240" w:lineRule="auto"/>
        <w:ind w:left="2136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</w:p>
    <w:p w:rsidR="00A607EE" w:rsidRPr="00112575" w:rsidRDefault="00A607EE" w:rsidP="00870040">
      <w:pPr>
        <w:ind w:left="1776"/>
        <w:jc w:val="both"/>
      </w:pPr>
    </w:p>
    <w:p w:rsidR="005F7790" w:rsidRDefault="005F7790" w:rsidP="00870040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One </w:t>
      </w:r>
      <w:r w:rsidR="00A03375">
        <w:rPr>
          <w:lang w:val="en-US"/>
        </w:rPr>
        <w:t>in 2012 for 8 po</w:t>
      </w:r>
      <w:r>
        <w:rPr>
          <w:lang w:val="en-US"/>
        </w:rPr>
        <w:t xml:space="preserve">sitions (3 theorists and </w:t>
      </w:r>
      <w:r w:rsidR="00A607EE">
        <w:rPr>
          <w:lang w:val="en-US"/>
        </w:rPr>
        <w:t xml:space="preserve">5 experimenters).The recipients list is </w:t>
      </w:r>
      <w:r>
        <w:rPr>
          <w:lang w:val="en-US"/>
        </w:rPr>
        <w:t xml:space="preserve"> given below</w:t>
      </w:r>
      <w:r w:rsidR="00112575">
        <w:rPr>
          <w:lang w:val="en-US"/>
        </w:rPr>
        <w:t xml:space="preserve"> (11 applications received for theory and 31 for experimenters)</w:t>
      </w:r>
    </w:p>
    <w:p w:rsidR="00112575" w:rsidRDefault="001125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</w:rPr>
      </w:pPr>
      <w:r>
        <w:rPr>
          <w:rStyle w:val="Accentuation"/>
          <w:rFonts w:ascii="Verdana" w:hAnsi="Verdana"/>
          <w:color w:val="4E4E4E"/>
          <w:sz w:val="14"/>
          <w:szCs w:val="14"/>
        </w:rPr>
        <w:t>G. Moreau (LPT)</w:t>
      </w:r>
      <w:r>
        <w:rPr>
          <w:rFonts w:ascii="Verdana" w:hAnsi="Verdana"/>
          <w:color w:val="4E4E4E"/>
          <w:sz w:val="14"/>
          <w:szCs w:val="14"/>
        </w:rPr>
        <w:t xml:space="preserve"> - Bosons de </w:t>
      </w:r>
      <w:proofErr w:type="spellStart"/>
      <w:r>
        <w:rPr>
          <w:rFonts w:ascii="Verdana" w:hAnsi="Verdana"/>
          <w:color w:val="4E4E4E"/>
          <w:sz w:val="14"/>
          <w:szCs w:val="14"/>
        </w:rPr>
        <w:t>Higgs</w:t>
      </w:r>
      <w:proofErr w:type="spellEnd"/>
      <w:r>
        <w:rPr>
          <w:rFonts w:ascii="Verdana" w:hAnsi="Verdana"/>
          <w:color w:val="4E4E4E"/>
          <w:sz w:val="14"/>
          <w:szCs w:val="14"/>
        </w:rPr>
        <w:t xml:space="preserve"> au-delà du modèle standard</w:t>
      </w:r>
    </w:p>
    <w:p w:rsidR="00112575" w:rsidRDefault="001125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</w:rPr>
      </w:pPr>
      <w:r>
        <w:rPr>
          <w:rFonts w:ascii="Verdana" w:hAnsi="Verdana"/>
          <w:color w:val="4E4E4E"/>
          <w:sz w:val="14"/>
          <w:szCs w:val="14"/>
        </w:rPr>
        <w:t>-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Style w:val="Accentuation"/>
          <w:rFonts w:ascii="Verdana" w:hAnsi="Verdana"/>
          <w:color w:val="4E4E4E"/>
          <w:sz w:val="14"/>
          <w:szCs w:val="14"/>
        </w:rPr>
        <w:t xml:space="preserve">M. </w:t>
      </w:r>
      <w:proofErr w:type="spellStart"/>
      <w:r>
        <w:rPr>
          <w:rStyle w:val="Accentuation"/>
          <w:rFonts w:ascii="Verdana" w:hAnsi="Verdana"/>
          <w:color w:val="4E4E4E"/>
          <w:sz w:val="14"/>
          <w:szCs w:val="14"/>
        </w:rPr>
        <w:t>Petropoulos</w:t>
      </w:r>
      <w:proofErr w:type="spellEnd"/>
      <w:r>
        <w:rPr>
          <w:rStyle w:val="Accentuation"/>
          <w:rFonts w:ascii="Verdana" w:hAnsi="Verdana"/>
          <w:color w:val="4E4E4E"/>
          <w:sz w:val="14"/>
          <w:szCs w:val="14"/>
        </w:rPr>
        <w:t xml:space="preserve"> (CPHT)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Fonts w:ascii="Verdana" w:hAnsi="Verdana"/>
          <w:color w:val="4E4E4E"/>
          <w:sz w:val="14"/>
          <w:szCs w:val="14"/>
        </w:rPr>
        <w:t>- Trou noir : aspects microscopiques et holographiques</w:t>
      </w:r>
    </w:p>
    <w:p w:rsidR="00112575" w:rsidRPr="00112575" w:rsidRDefault="001125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</w:rPr>
      </w:pPr>
      <w:r>
        <w:rPr>
          <w:rFonts w:ascii="Verdana" w:hAnsi="Verdana"/>
          <w:color w:val="4E4E4E"/>
          <w:sz w:val="14"/>
          <w:szCs w:val="14"/>
        </w:rPr>
        <w:t>-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Style w:val="Accentuation"/>
          <w:rFonts w:ascii="Verdana" w:hAnsi="Verdana"/>
          <w:color w:val="4E4E4E"/>
          <w:sz w:val="14"/>
          <w:szCs w:val="14"/>
        </w:rPr>
        <w:t>S. Wallon (LPT)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Fonts w:ascii="Verdana" w:hAnsi="Verdana"/>
          <w:color w:val="4E4E4E"/>
          <w:sz w:val="14"/>
          <w:szCs w:val="14"/>
        </w:rPr>
        <w:t>- Théorie et phénoménologie des réactions exclusives dures en QCD</w:t>
      </w:r>
    </w:p>
    <w:p w:rsidR="00A03375" w:rsidRDefault="00A033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</w:rPr>
      </w:pP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Style w:val="Accentuation"/>
          <w:rFonts w:ascii="Verdana" w:hAnsi="Verdana"/>
          <w:color w:val="4E4E4E"/>
          <w:sz w:val="14"/>
          <w:szCs w:val="14"/>
        </w:rPr>
        <w:t xml:space="preserve">E. </w:t>
      </w:r>
      <w:proofErr w:type="spellStart"/>
      <w:r>
        <w:rPr>
          <w:rStyle w:val="Accentuation"/>
          <w:rFonts w:ascii="Verdana" w:hAnsi="Verdana"/>
          <w:color w:val="4E4E4E"/>
          <w:sz w:val="14"/>
          <w:szCs w:val="14"/>
        </w:rPr>
        <w:t>Armengaud</w:t>
      </w:r>
      <w:proofErr w:type="spellEnd"/>
      <w:r>
        <w:rPr>
          <w:rStyle w:val="Accentuation"/>
          <w:rFonts w:ascii="Verdana" w:hAnsi="Verdana"/>
          <w:color w:val="4E4E4E"/>
          <w:sz w:val="14"/>
          <w:szCs w:val="14"/>
        </w:rPr>
        <w:t xml:space="preserve"> (IFRU, P2)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Fonts w:ascii="Verdana" w:hAnsi="Verdana"/>
          <w:color w:val="4E4E4E"/>
          <w:sz w:val="14"/>
          <w:szCs w:val="14"/>
        </w:rPr>
        <w:t xml:space="preserve">: Recherche de </w:t>
      </w:r>
      <w:proofErr w:type="spellStart"/>
      <w:r>
        <w:rPr>
          <w:rFonts w:ascii="Verdana" w:hAnsi="Verdana"/>
          <w:color w:val="4E4E4E"/>
          <w:sz w:val="14"/>
          <w:szCs w:val="14"/>
        </w:rPr>
        <w:t>WIMP's</w:t>
      </w:r>
      <w:proofErr w:type="spellEnd"/>
      <w:r>
        <w:rPr>
          <w:rFonts w:ascii="Verdana" w:hAnsi="Verdana"/>
          <w:color w:val="4E4E4E"/>
          <w:sz w:val="14"/>
          <w:szCs w:val="14"/>
        </w:rPr>
        <w:t xml:space="preserve"> à l'aide des détecteurs EDELWEISS-III</w:t>
      </w:r>
    </w:p>
    <w:p w:rsidR="00A03375" w:rsidRPr="00A03375" w:rsidRDefault="00A033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  <w:lang w:val="en-US"/>
        </w:rPr>
      </w:pPr>
      <w:r w:rsidRPr="00A03375">
        <w:rPr>
          <w:rFonts w:ascii="Verdana" w:hAnsi="Verdana"/>
          <w:color w:val="4E4E4E"/>
          <w:sz w:val="14"/>
          <w:szCs w:val="14"/>
          <w:lang w:val="en-US"/>
        </w:rPr>
        <w:t>-</w:t>
      </w:r>
      <w:r w:rsidRPr="00A03375">
        <w:rPr>
          <w:rStyle w:val="apple-converted-space"/>
          <w:rFonts w:ascii="Verdana" w:hAnsi="Verdana"/>
          <w:color w:val="4E4E4E"/>
          <w:sz w:val="14"/>
          <w:szCs w:val="14"/>
          <w:lang w:val="en-US"/>
        </w:rPr>
        <w:t> </w:t>
      </w:r>
      <w:r w:rsidRPr="00A03375">
        <w:rPr>
          <w:rStyle w:val="Accentuation"/>
          <w:rFonts w:ascii="Verdana" w:hAnsi="Verdana"/>
          <w:color w:val="4E4E4E"/>
          <w:sz w:val="14"/>
          <w:szCs w:val="14"/>
          <w:lang w:val="en-US"/>
        </w:rPr>
        <w:t xml:space="preserve">T. </w:t>
      </w:r>
      <w:proofErr w:type="spellStart"/>
      <w:r w:rsidRPr="00A03375">
        <w:rPr>
          <w:rStyle w:val="Accentuation"/>
          <w:rFonts w:ascii="Verdana" w:hAnsi="Verdana"/>
          <w:color w:val="4E4E4E"/>
          <w:sz w:val="14"/>
          <w:szCs w:val="14"/>
          <w:lang w:val="en-US"/>
        </w:rPr>
        <w:t>Ljungvall</w:t>
      </w:r>
      <w:proofErr w:type="spellEnd"/>
      <w:r w:rsidRPr="00A03375">
        <w:rPr>
          <w:rStyle w:val="Accentuation"/>
          <w:rFonts w:ascii="Verdana" w:hAnsi="Verdana"/>
          <w:color w:val="4E4E4E"/>
          <w:sz w:val="14"/>
          <w:szCs w:val="14"/>
          <w:lang w:val="en-US"/>
        </w:rPr>
        <w:t xml:space="preserve"> (CSNSM, P3)</w:t>
      </w:r>
      <w:r w:rsidRPr="00A03375">
        <w:rPr>
          <w:rStyle w:val="apple-converted-space"/>
          <w:rFonts w:ascii="Verdana" w:hAnsi="Verdana"/>
          <w:color w:val="4E4E4E"/>
          <w:sz w:val="14"/>
          <w:szCs w:val="14"/>
          <w:lang w:val="en-US"/>
        </w:rPr>
        <w:t> </w:t>
      </w:r>
      <w:r w:rsidRPr="00A03375">
        <w:rPr>
          <w:rFonts w:ascii="Verdana" w:hAnsi="Verdana"/>
          <w:color w:val="4E4E4E"/>
          <w:sz w:val="14"/>
          <w:szCs w:val="14"/>
          <w:lang w:val="en-US"/>
        </w:rPr>
        <w:t>: Electromagnetic moments in exotic nuclei</w:t>
      </w:r>
    </w:p>
    <w:p w:rsidR="00A03375" w:rsidRDefault="00A033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</w:rPr>
      </w:pPr>
      <w:r>
        <w:rPr>
          <w:rFonts w:ascii="Verdana" w:hAnsi="Verdana"/>
          <w:color w:val="4E4E4E"/>
          <w:sz w:val="14"/>
          <w:szCs w:val="14"/>
        </w:rPr>
        <w:t>-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Style w:val="Accentuation"/>
          <w:rFonts w:ascii="Verdana" w:hAnsi="Verdana"/>
          <w:color w:val="4E4E4E"/>
          <w:sz w:val="14"/>
          <w:szCs w:val="14"/>
        </w:rPr>
        <w:t>G. Martinet (IPNO, R1)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Fonts w:ascii="Verdana" w:hAnsi="Verdana"/>
          <w:color w:val="4E4E4E"/>
          <w:sz w:val="14"/>
          <w:szCs w:val="14"/>
        </w:rPr>
        <w:t>: Matériaux supraconducteurs : une alternative au niobium massif pour les cavités</w:t>
      </w:r>
    </w:p>
    <w:p w:rsidR="00A03375" w:rsidRPr="00A03375" w:rsidRDefault="00A033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  <w:lang w:val="en-US"/>
        </w:rPr>
      </w:pPr>
      <w:r w:rsidRPr="00A03375">
        <w:rPr>
          <w:rFonts w:ascii="Verdana" w:hAnsi="Verdana"/>
          <w:color w:val="4E4E4E"/>
          <w:sz w:val="14"/>
          <w:szCs w:val="14"/>
          <w:lang w:val="en-US"/>
        </w:rPr>
        <w:t>-</w:t>
      </w:r>
      <w:r w:rsidRPr="00A03375">
        <w:rPr>
          <w:rStyle w:val="apple-converted-space"/>
          <w:rFonts w:ascii="Verdana" w:hAnsi="Verdana"/>
          <w:color w:val="4E4E4E"/>
          <w:sz w:val="14"/>
          <w:szCs w:val="14"/>
          <w:lang w:val="en-US"/>
        </w:rPr>
        <w:t> </w:t>
      </w:r>
      <w:r w:rsidRPr="00A03375">
        <w:rPr>
          <w:rStyle w:val="Accentuation"/>
          <w:rFonts w:ascii="Verdana" w:hAnsi="Verdana"/>
          <w:color w:val="4E4E4E"/>
          <w:sz w:val="14"/>
          <w:szCs w:val="14"/>
          <w:lang w:val="en-US"/>
        </w:rPr>
        <w:t xml:space="preserve">R. </w:t>
      </w:r>
      <w:proofErr w:type="spellStart"/>
      <w:r w:rsidRPr="00A03375">
        <w:rPr>
          <w:rStyle w:val="Accentuation"/>
          <w:rFonts w:ascii="Verdana" w:hAnsi="Verdana"/>
          <w:color w:val="4E4E4E"/>
          <w:sz w:val="14"/>
          <w:szCs w:val="14"/>
          <w:lang w:val="en-US"/>
        </w:rPr>
        <w:t>Poeschl</w:t>
      </w:r>
      <w:proofErr w:type="spellEnd"/>
      <w:r w:rsidRPr="00A03375">
        <w:rPr>
          <w:rStyle w:val="Accentuation"/>
          <w:rFonts w:ascii="Verdana" w:hAnsi="Verdana"/>
          <w:color w:val="4E4E4E"/>
          <w:sz w:val="14"/>
          <w:szCs w:val="14"/>
          <w:lang w:val="en-US"/>
        </w:rPr>
        <w:t xml:space="preserve"> (LAL, P1)</w:t>
      </w:r>
      <w:r w:rsidRPr="00A03375">
        <w:rPr>
          <w:rStyle w:val="apple-converted-space"/>
          <w:rFonts w:ascii="Verdana" w:hAnsi="Verdana"/>
          <w:color w:val="4E4E4E"/>
          <w:sz w:val="14"/>
          <w:szCs w:val="14"/>
          <w:lang w:val="en-US"/>
        </w:rPr>
        <w:t> </w:t>
      </w:r>
      <w:r w:rsidRPr="00A03375">
        <w:rPr>
          <w:rFonts w:ascii="Verdana" w:hAnsi="Verdana"/>
          <w:color w:val="4E4E4E"/>
          <w:sz w:val="14"/>
          <w:szCs w:val="14"/>
          <w:lang w:val="en-US"/>
        </w:rPr>
        <w:t>: Pattern recognition and machine learning for imaging calorimeters</w:t>
      </w:r>
    </w:p>
    <w:p w:rsidR="00A03375" w:rsidRDefault="00A03375" w:rsidP="0087004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color w:val="4E4E4E"/>
          <w:sz w:val="14"/>
          <w:szCs w:val="14"/>
        </w:rPr>
      </w:pPr>
      <w:r>
        <w:rPr>
          <w:rFonts w:ascii="Verdana" w:hAnsi="Verdana"/>
          <w:color w:val="4E4E4E"/>
          <w:sz w:val="14"/>
          <w:szCs w:val="14"/>
        </w:rPr>
        <w:t>-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Style w:val="Accentuation"/>
          <w:rFonts w:ascii="Verdana" w:hAnsi="Verdana"/>
          <w:color w:val="4E4E4E"/>
          <w:sz w:val="14"/>
          <w:szCs w:val="14"/>
        </w:rPr>
        <w:t xml:space="preserve">S. </w:t>
      </w:r>
      <w:proofErr w:type="spellStart"/>
      <w:r>
        <w:rPr>
          <w:rStyle w:val="Accentuation"/>
          <w:rFonts w:ascii="Verdana" w:hAnsi="Verdana"/>
          <w:color w:val="4E4E4E"/>
          <w:sz w:val="14"/>
          <w:szCs w:val="14"/>
        </w:rPr>
        <w:t>Della</w:t>
      </w:r>
      <w:proofErr w:type="spellEnd"/>
      <w:r>
        <w:rPr>
          <w:rStyle w:val="Accentuation"/>
          <w:rFonts w:ascii="Verdana" w:hAnsi="Verdana"/>
          <w:color w:val="4E4E4E"/>
          <w:sz w:val="14"/>
          <w:szCs w:val="14"/>
        </w:rPr>
        <w:t>-</w:t>
      </w:r>
      <w:proofErr w:type="spellStart"/>
      <w:r>
        <w:rPr>
          <w:rStyle w:val="Accentuation"/>
          <w:rFonts w:ascii="Verdana" w:hAnsi="Verdana"/>
          <w:color w:val="4E4E4E"/>
          <w:sz w:val="14"/>
          <w:szCs w:val="14"/>
        </w:rPr>
        <w:t>Negra</w:t>
      </w:r>
      <w:proofErr w:type="spellEnd"/>
      <w:r>
        <w:rPr>
          <w:rStyle w:val="Accentuation"/>
          <w:rFonts w:ascii="Verdana" w:hAnsi="Verdana"/>
          <w:color w:val="4E4E4E"/>
          <w:sz w:val="14"/>
          <w:szCs w:val="14"/>
        </w:rPr>
        <w:t xml:space="preserve"> (IPNO, P4)</w:t>
      </w:r>
      <w:r>
        <w:rPr>
          <w:rStyle w:val="apple-converted-space"/>
          <w:rFonts w:ascii="Verdana" w:hAnsi="Verdana"/>
          <w:color w:val="4E4E4E"/>
          <w:sz w:val="14"/>
          <w:szCs w:val="14"/>
        </w:rPr>
        <w:t> </w:t>
      </w:r>
      <w:r>
        <w:rPr>
          <w:rFonts w:ascii="Verdana" w:hAnsi="Verdana"/>
          <w:color w:val="4E4E4E"/>
          <w:sz w:val="14"/>
          <w:szCs w:val="14"/>
        </w:rPr>
        <w:t>: Météorites, exobiologie et le projet Andromède</w:t>
      </w:r>
    </w:p>
    <w:p w:rsidR="00A03375" w:rsidRPr="00A03375" w:rsidRDefault="00A03375" w:rsidP="00870040">
      <w:pPr>
        <w:jc w:val="both"/>
      </w:pPr>
    </w:p>
    <w:p w:rsidR="005F7790" w:rsidRDefault="005F7790" w:rsidP="00870040">
      <w:pPr>
        <w:jc w:val="both"/>
        <w:rPr>
          <w:lang w:val="en-US"/>
        </w:rPr>
      </w:pPr>
      <w:r w:rsidRPr="00A03375">
        <w:t xml:space="preserve">            </w:t>
      </w:r>
      <w:r w:rsidRPr="005F7790">
        <w:rPr>
          <w:lang w:val="en-US"/>
        </w:rPr>
        <w:t xml:space="preserve">3.2/ </w:t>
      </w:r>
      <w:proofErr w:type="gramStart"/>
      <w:r w:rsidRPr="005F7790">
        <w:rPr>
          <w:lang w:val="en-US"/>
        </w:rPr>
        <w:t>Two</w:t>
      </w:r>
      <w:proofErr w:type="gramEnd"/>
      <w:r w:rsidRPr="005F7790">
        <w:rPr>
          <w:lang w:val="en-US"/>
        </w:rPr>
        <w:t xml:space="preserve"> calls for R&amp;D programs</w:t>
      </w:r>
    </w:p>
    <w:p w:rsidR="005F7790" w:rsidRDefault="005F7790" w:rsidP="00870040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A03375">
        <w:rPr>
          <w:lang w:val="en-US"/>
        </w:rPr>
        <w:lastRenderedPageBreak/>
        <w:t>One in 2011, targeting small upstream programs (between 50 and 100 k€)</w:t>
      </w:r>
      <w:r w:rsidR="00112575">
        <w:rPr>
          <w:lang w:val="en-US"/>
        </w:rPr>
        <w:t xml:space="preserve">, for a total budget of 593 k€ 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lang w:val="en-US" w:eastAsia="fr-FR"/>
        </w:rPr>
        <w:t> </w:t>
      </w:r>
      <w:r w:rsidRPr="00112575">
        <w:rPr>
          <w:rFonts w:ascii="Verdana" w:eastAsia="Times New Roman" w:hAnsi="Verdana" w:cs="Times New Roman"/>
          <w:i/>
          <w:iCs/>
          <w:color w:val="4E4E4E"/>
          <w:sz w:val="14"/>
          <w:lang w:eastAsia="fr-FR"/>
        </w:rPr>
        <w:t>Accélérateurs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- G. Martinet (IPN) Couches Mince Supraconductrices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- D.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Lunney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(CSNSM)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Décélérateur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anti-protons</w:t>
      </w:r>
      <w:proofErr w:type="spellEnd"/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- P.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Bambade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(LAL) Détection halo ATF2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•</w:t>
      </w:r>
      <w:r w:rsidRPr="00112575">
        <w:rPr>
          <w:rFonts w:ascii="Verdana" w:eastAsia="Times New Roman" w:hAnsi="Verdana" w:cs="Times New Roman"/>
          <w:color w:val="4E4E4E"/>
          <w:sz w:val="14"/>
          <w:lang w:eastAsia="fr-FR"/>
        </w:rPr>
        <w:t> </w:t>
      </w:r>
      <w:r w:rsidRPr="00112575">
        <w:rPr>
          <w:rFonts w:ascii="Verdana" w:eastAsia="Times New Roman" w:hAnsi="Verdana" w:cs="Times New Roman"/>
          <w:i/>
          <w:iCs/>
          <w:color w:val="4E4E4E"/>
          <w:sz w:val="14"/>
          <w:lang w:eastAsia="fr-FR"/>
        </w:rPr>
        <w:t>Capteurs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- D. Yvon (IRFU)  TEP nouvelle génération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- E.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Delagnes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(IRFU) électronique 1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ps</w:t>
      </w:r>
      <w:proofErr w:type="spellEnd"/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- V.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Tatischeff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(CSNSM) 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Téléscopes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Compton nouvelle génération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- S.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Marnieros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(CSNSM) Bolomètres nouvelle génération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- D. Bernard (IN2P3) Polarimétrie rayons gamma</w:t>
      </w:r>
    </w:p>
    <w:p w:rsidR="00112575" w:rsidRP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•</w:t>
      </w:r>
      <w:r w:rsidRPr="00112575">
        <w:rPr>
          <w:rFonts w:ascii="Verdana" w:eastAsia="Times New Roman" w:hAnsi="Verdana" w:cs="Times New Roman"/>
          <w:color w:val="4E4E4E"/>
          <w:sz w:val="14"/>
          <w:lang w:eastAsia="fr-FR"/>
        </w:rPr>
        <w:t> </w:t>
      </w:r>
      <w:r w:rsidRPr="00112575">
        <w:rPr>
          <w:rFonts w:ascii="Verdana" w:eastAsia="Times New Roman" w:hAnsi="Verdana" w:cs="Times New Roman"/>
          <w:i/>
          <w:iCs/>
          <w:color w:val="4E4E4E"/>
          <w:sz w:val="14"/>
          <w:lang w:eastAsia="fr-FR"/>
        </w:rPr>
        <w:t>Données</w:t>
      </w:r>
    </w:p>
    <w:p w:rsidR="00112575" w:rsidRDefault="00112575" w:rsidP="008700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- D.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Chamont</w:t>
      </w:r>
      <w:proofErr w:type="spellEnd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 xml:space="preserve"> (LLR) Calcul en grille avec processeurs </w:t>
      </w:r>
      <w:proofErr w:type="spellStart"/>
      <w:r w:rsidRPr="00112575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GPUs</w:t>
      </w:r>
      <w:proofErr w:type="spellEnd"/>
    </w:p>
    <w:p w:rsidR="00A607EE" w:rsidRPr="00A607EE" w:rsidRDefault="00A607EE" w:rsidP="00870040">
      <w:pPr>
        <w:pStyle w:val="Paragraphedeliste"/>
        <w:spacing w:after="0" w:line="240" w:lineRule="auto"/>
        <w:ind w:left="708"/>
        <w:jc w:val="both"/>
        <w:rPr>
          <w:rFonts w:ascii="Verdana" w:eastAsia="Times New Roman" w:hAnsi="Verdana" w:cs="Times New Roman"/>
          <w:color w:val="4E4E4E"/>
          <w:sz w:val="14"/>
          <w:szCs w:val="14"/>
          <w:lang w:val="en-US"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val="en-US" w:eastAsia="fr-FR"/>
        </w:rPr>
        <w:t xml:space="preserve"> A status report for all of </w:t>
      </w:r>
      <w:proofErr w:type="spellStart"/>
      <w:r w:rsidRPr="00A607EE">
        <w:rPr>
          <w:rFonts w:ascii="Verdana" w:eastAsia="Times New Roman" w:hAnsi="Verdana" w:cs="Times New Roman"/>
          <w:color w:val="4E4E4E"/>
          <w:sz w:val="14"/>
          <w:szCs w:val="14"/>
          <w:lang w:val="en-US" w:eastAsia="fr-FR"/>
        </w:rPr>
        <w:t>tehse</w:t>
      </w:r>
      <w:proofErr w:type="spellEnd"/>
      <w:r w:rsidRPr="00A607EE">
        <w:rPr>
          <w:rFonts w:ascii="Verdana" w:eastAsia="Times New Roman" w:hAnsi="Verdana" w:cs="Times New Roman"/>
          <w:color w:val="4E4E4E"/>
          <w:sz w:val="14"/>
          <w:szCs w:val="14"/>
          <w:lang w:val="en-US" w:eastAsia="fr-FR"/>
        </w:rPr>
        <w:t xml:space="preserve"> projects is available on the </w:t>
      </w:r>
      <w:proofErr w:type="spellStart"/>
      <w:r w:rsidRPr="00A607EE">
        <w:rPr>
          <w:rFonts w:ascii="Verdana" w:eastAsia="Times New Roman" w:hAnsi="Verdana" w:cs="Times New Roman"/>
          <w:color w:val="4E4E4E"/>
          <w:sz w:val="14"/>
          <w:szCs w:val="14"/>
          <w:lang w:val="en-US" w:eastAsia="fr-FR"/>
        </w:rPr>
        <w:t>indico</w:t>
      </w:r>
      <w:proofErr w:type="spellEnd"/>
      <w:r w:rsidRPr="00A607EE">
        <w:rPr>
          <w:rFonts w:ascii="Verdana" w:eastAsia="Times New Roman" w:hAnsi="Verdana" w:cs="Times New Roman"/>
          <w:color w:val="4E4E4E"/>
          <w:sz w:val="14"/>
          <w:szCs w:val="14"/>
          <w:lang w:val="en-US" w:eastAsia="fr-FR"/>
        </w:rPr>
        <w:t xml:space="preserve"> page </w:t>
      </w:r>
    </w:p>
    <w:p w:rsidR="00A607EE" w:rsidRPr="00A607EE" w:rsidRDefault="00A607EE" w:rsidP="00870040">
      <w:pPr>
        <w:pStyle w:val="Paragraphedeliste"/>
        <w:spacing w:after="0" w:line="240" w:lineRule="auto"/>
        <w:ind w:left="708"/>
        <w:jc w:val="both"/>
        <w:rPr>
          <w:rFonts w:ascii="Verdana" w:eastAsia="Times New Roman" w:hAnsi="Verdana" w:cs="Times New Roman"/>
          <w:color w:val="4E4E4E"/>
          <w:sz w:val="14"/>
          <w:szCs w:val="14"/>
          <w:lang w:val="en-US" w:eastAsia="fr-FR"/>
        </w:rPr>
      </w:pPr>
      <w:hyperlink r:id="rId11" w:history="1">
        <w:r w:rsidRPr="00A607EE">
          <w:rPr>
            <w:rStyle w:val="Lienhypertexte"/>
            <w:lang w:val="en-US"/>
          </w:rPr>
          <w:t>http://indico2.lal.in2p3.fr/indico/materialDisplay.py?materialId=3&amp;confId=1812</w:t>
        </w:r>
      </w:hyperlink>
    </w:p>
    <w:p w:rsidR="00112575" w:rsidRDefault="00112575" w:rsidP="00870040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112575">
        <w:rPr>
          <w:lang w:val="en-US"/>
        </w:rPr>
        <w:t>One in 2012, targeting larger programs and infrastructures (budget 500 k€)</w:t>
      </w:r>
    </w:p>
    <w:p w:rsidR="00112575" w:rsidRDefault="00112575" w:rsidP="00870040">
      <w:pPr>
        <w:pStyle w:val="Paragraphedeliste"/>
        <w:numPr>
          <w:ilvl w:val="1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Captinnov</w:t>
      </w:r>
      <w:proofErr w:type="spellEnd"/>
      <w:r>
        <w:rPr>
          <w:lang w:val="en-US"/>
        </w:rPr>
        <w:t xml:space="preserve"> (minimum of 181 k€)</w:t>
      </w:r>
    </w:p>
    <w:p w:rsidR="00112575" w:rsidRDefault="00112575" w:rsidP="00870040">
      <w:pPr>
        <w:pStyle w:val="Paragraphedeliste"/>
        <w:numPr>
          <w:ilvl w:val="1"/>
          <w:numId w:val="5"/>
        </w:numPr>
        <w:jc w:val="both"/>
        <w:rPr>
          <w:lang w:val="en-US"/>
        </w:rPr>
      </w:pPr>
      <w:r>
        <w:rPr>
          <w:lang w:val="en-US"/>
        </w:rPr>
        <w:t xml:space="preserve">Virtual data (250 k€) </w:t>
      </w:r>
    </w:p>
    <w:p w:rsidR="00112575" w:rsidRDefault="00112575" w:rsidP="00870040">
      <w:pPr>
        <w:ind w:left="1788"/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the projects presentation  (in French)  on the SC </w:t>
      </w:r>
      <w:proofErr w:type="spellStart"/>
      <w:r>
        <w:rPr>
          <w:lang w:val="en-US"/>
        </w:rPr>
        <w:t>indico</w:t>
      </w:r>
      <w:proofErr w:type="spellEnd"/>
      <w:r>
        <w:rPr>
          <w:lang w:val="en-US"/>
        </w:rPr>
        <w:t xml:space="preserve"> page</w:t>
      </w:r>
    </w:p>
    <w:p w:rsidR="00112575" w:rsidRDefault="00112575" w:rsidP="00870040">
      <w:pPr>
        <w:ind w:left="1788"/>
        <w:jc w:val="both"/>
        <w:rPr>
          <w:lang w:val="en-US"/>
        </w:rPr>
      </w:pPr>
      <w:hyperlink r:id="rId12" w:history="1">
        <w:r w:rsidRPr="00112575">
          <w:rPr>
            <w:rStyle w:val="Lienhypertexte"/>
            <w:lang w:val="en-US"/>
          </w:rPr>
          <w:t>http://indico2.lal.in2p3.fr/indico/conferenceDisplay.py?confId=1812</w:t>
        </w:r>
      </w:hyperlink>
      <w:r>
        <w:rPr>
          <w:lang w:val="en-US"/>
        </w:rPr>
        <w:t xml:space="preserve">) </w:t>
      </w:r>
    </w:p>
    <w:p w:rsidR="00A607EE" w:rsidRDefault="00A607EE" w:rsidP="00870040">
      <w:pPr>
        <w:ind w:left="708"/>
        <w:jc w:val="both"/>
        <w:rPr>
          <w:lang w:val="en-US"/>
        </w:rPr>
      </w:pPr>
      <w:r>
        <w:rPr>
          <w:lang w:val="en-US"/>
        </w:rPr>
        <w:t xml:space="preserve">Such an </w:t>
      </w:r>
      <w:proofErr w:type="spellStart"/>
      <w:r>
        <w:rPr>
          <w:lang w:val="en-US"/>
        </w:rPr>
        <w:t>alternance</w:t>
      </w:r>
      <w:proofErr w:type="spellEnd"/>
      <w:r>
        <w:rPr>
          <w:lang w:val="en-US"/>
        </w:rPr>
        <w:t xml:space="preserve"> between these two styles of R&amp;D projects is meant to continue during P2IO’s lifetime.</w:t>
      </w:r>
    </w:p>
    <w:p w:rsidR="00A607EE" w:rsidRDefault="00A607EE" w:rsidP="00870040">
      <w:pPr>
        <w:ind w:left="708"/>
        <w:jc w:val="both"/>
        <w:rPr>
          <w:lang w:val="en-US"/>
        </w:rPr>
      </w:pPr>
      <w:r>
        <w:rPr>
          <w:lang w:val="en-US"/>
        </w:rPr>
        <w:t xml:space="preserve">Besides these major calls, P2IO has launched some other important </w:t>
      </w:r>
      <w:proofErr w:type="gramStart"/>
      <w:r>
        <w:rPr>
          <w:lang w:val="en-US"/>
        </w:rPr>
        <w:t>actions :</w:t>
      </w:r>
      <w:proofErr w:type="gramEnd"/>
    </w:p>
    <w:p w:rsidR="00A607EE" w:rsidRDefault="00A607EE" w:rsidP="00870040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Training (see the report on the </w:t>
      </w:r>
      <w:proofErr w:type="spellStart"/>
      <w:r>
        <w:rPr>
          <w:lang w:val="en-US"/>
        </w:rPr>
        <w:t>Indico</w:t>
      </w:r>
      <w:proofErr w:type="spellEnd"/>
      <w:r>
        <w:rPr>
          <w:lang w:val="en-US"/>
        </w:rPr>
        <w:t xml:space="preserve"> web page)</w:t>
      </w:r>
    </w:p>
    <w:p w:rsidR="00A607EE" w:rsidRDefault="00A607EE" w:rsidP="00870040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Outreach including the preparation of a major event : “The night of the two Infinities” which will take place on October 9</w:t>
      </w:r>
      <w:r w:rsidRPr="00A607EE">
        <w:rPr>
          <w:vertAlign w:val="superscript"/>
          <w:lang w:val="en-US"/>
        </w:rPr>
        <w:t>th</w:t>
      </w:r>
      <w:r>
        <w:rPr>
          <w:lang w:val="en-US"/>
        </w:rPr>
        <w:t xml:space="preserve"> , a brochure (in French and in English), a web site, a bi-monthly newsletter</w:t>
      </w:r>
    </w:p>
    <w:p w:rsidR="00A607EE" w:rsidRDefault="00A607EE" w:rsidP="00870040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Support to 8 existing platforms (90 k€ per year) 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Halls de tests cavités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Banc BETSI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PHIL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DALTON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Station d'essais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CALVA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JANNUS</w:t>
      </w:r>
    </w:p>
    <w:p w:rsidR="00A607EE" w:rsidRPr="00A607EE" w:rsidRDefault="00A607EE" w:rsidP="008700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</w:pPr>
      <w:r w:rsidRPr="00A607EE">
        <w:rPr>
          <w:rFonts w:ascii="Verdana" w:eastAsia="Times New Roman" w:hAnsi="Verdana" w:cs="Times New Roman"/>
          <w:color w:val="4E4E4E"/>
          <w:sz w:val="14"/>
          <w:szCs w:val="14"/>
          <w:lang w:eastAsia="fr-FR"/>
        </w:rPr>
        <w:t>GRIF</w:t>
      </w:r>
    </w:p>
    <w:p w:rsidR="00A607EE" w:rsidRPr="00870040" w:rsidRDefault="00870040" w:rsidP="00870040">
      <w:pPr>
        <w:jc w:val="both"/>
        <w:rPr>
          <w:b/>
          <w:lang w:val="en-US"/>
        </w:rPr>
      </w:pPr>
      <w:r w:rsidRPr="00870040">
        <w:rPr>
          <w:b/>
          <w:lang w:val="en-US"/>
        </w:rPr>
        <w:t xml:space="preserve">The SC will be invited to comment on these actions and on their relevance with respect to P2IO objectives. </w:t>
      </w:r>
    </w:p>
    <w:sectPr w:rsidR="00A607EE" w:rsidRPr="00870040" w:rsidSect="003D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FB4"/>
    <w:multiLevelType w:val="hybridMultilevel"/>
    <w:tmpl w:val="F2F2E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69C4"/>
    <w:multiLevelType w:val="hybridMultilevel"/>
    <w:tmpl w:val="84705A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17332D7"/>
    <w:multiLevelType w:val="hybridMultilevel"/>
    <w:tmpl w:val="4D58850A"/>
    <w:lvl w:ilvl="0" w:tplc="670C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C2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A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8F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4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42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6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864BFC"/>
    <w:multiLevelType w:val="hybridMultilevel"/>
    <w:tmpl w:val="A300A6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7A2068"/>
    <w:multiLevelType w:val="hybridMultilevel"/>
    <w:tmpl w:val="D8E6849A"/>
    <w:lvl w:ilvl="0" w:tplc="862A70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AC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75BE">
      <w:start w:val="1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27D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7A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ADE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028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EC6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A4B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044D3B"/>
    <w:multiLevelType w:val="multilevel"/>
    <w:tmpl w:val="1FF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050C"/>
    <w:rsid w:val="00112575"/>
    <w:rsid w:val="001949FF"/>
    <w:rsid w:val="003D311C"/>
    <w:rsid w:val="005F7790"/>
    <w:rsid w:val="00662B83"/>
    <w:rsid w:val="00674A9A"/>
    <w:rsid w:val="006A24D2"/>
    <w:rsid w:val="00772B86"/>
    <w:rsid w:val="00870040"/>
    <w:rsid w:val="009A5521"/>
    <w:rsid w:val="00A03375"/>
    <w:rsid w:val="00A607EE"/>
    <w:rsid w:val="00AB595C"/>
    <w:rsid w:val="00B1050C"/>
    <w:rsid w:val="00C821C0"/>
    <w:rsid w:val="00D5300A"/>
    <w:rsid w:val="00E9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1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B8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2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03375"/>
  </w:style>
  <w:style w:type="character" w:styleId="Accentuation">
    <w:name w:val="Emphasis"/>
    <w:basedOn w:val="Policepardfaut"/>
    <w:uiPriority w:val="20"/>
    <w:qFormat/>
    <w:rsid w:val="00A03375"/>
    <w:rPr>
      <w:i/>
      <w:iCs/>
    </w:rPr>
  </w:style>
  <w:style w:type="paragraph" w:customStyle="1" w:styleId="o1">
    <w:name w:val="o1"/>
    <w:basedOn w:val="Normal"/>
    <w:rsid w:val="0011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2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5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7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1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ex-p2io.fr/Phocea/Vie_des_labos/News/index.php?id_news=22" TargetMode="External"/><Relationship Id="rId12" Type="http://schemas.openxmlformats.org/officeDocument/2006/relationships/hyperlink" Target="http://indico2.lal.in2p3.fr/indico/conferenceDisplay.py?confId=1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2io.extra.cea.fr/Phocea/file.php?file=Ast/1/Labex_P2IO.pdf&amp;reload=1322474577" TargetMode="External"/><Relationship Id="rId11" Type="http://schemas.openxmlformats.org/officeDocument/2006/relationships/hyperlink" Target="http://indico2.lal.in2p3.fr/indico/materialDisplay.py?materialId=3&amp;confId=1812" TargetMode="External"/><Relationship Id="rId5" Type="http://schemas.openxmlformats.org/officeDocument/2006/relationships/hyperlink" Target="http://investissement-avenir.gouvernement.fr/content/action-projets/les-programmes/centres-dexcellence" TargetMode="External"/><Relationship Id="rId10" Type="http://schemas.openxmlformats.org/officeDocument/2006/relationships/hyperlink" Target="http://indico2.lal.in2p3.fr/indico/materialDisplay.py?materialId=2&amp;confId=18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WORMSER</dc:creator>
  <cp:lastModifiedBy>WORMSER</cp:lastModifiedBy>
  <cp:revision>1</cp:revision>
  <dcterms:created xsi:type="dcterms:W3CDTF">2012-06-12T13:24:00Z</dcterms:created>
  <dcterms:modified xsi:type="dcterms:W3CDTF">2012-06-12T15:29:00Z</dcterms:modified>
</cp:coreProperties>
</file>